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4F7151" w:rsidP="00301E00">
      <w:pPr>
        <w:pBdr>
          <w:bottom w:val="dotted" w:sz="24" w:space="1" w:color="auto"/>
        </w:pBdr>
        <w:ind w:left="2880" w:firstLine="720"/>
        <w:rPr>
          <w:b/>
          <w:bCs/>
          <w:color w:val="FF0000"/>
        </w:rPr>
      </w:pPr>
      <w:r>
        <w:rPr>
          <w:b/>
          <w:bCs/>
          <w:color w:val="FF0000"/>
        </w:rPr>
        <w:t>MONDAY NOVEMBER 20</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4F7151">
        <w:t xml:space="preserve"> Chambers in said City on the 20th day of November</w:t>
      </w:r>
      <w:r>
        <w:t xml:space="preserve"> at 7:00 o’clock P.M.  </w:t>
      </w:r>
    </w:p>
    <w:p w:rsidR="006102C6" w:rsidRDefault="006102C6" w:rsidP="00505DCB"/>
    <w:p w:rsidR="00505DCB" w:rsidRDefault="006102C6" w:rsidP="00505DCB">
      <w:r>
        <w:t>Roll call was held and p</w:t>
      </w:r>
      <w:r w:rsidR="00505DCB">
        <w:t>resent were: Mayo</w:t>
      </w:r>
      <w:r>
        <w:t xml:space="preserve">r </w:t>
      </w:r>
      <w:proofErr w:type="spellStart"/>
      <w:r>
        <w:t>Seip</w:t>
      </w:r>
      <w:proofErr w:type="spellEnd"/>
      <w:r>
        <w:t>;</w:t>
      </w:r>
      <w:r w:rsidR="0012107A">
        <w:t xml:space="preserve"> Council Members: Cornett, </w:t>
      </w:r>
      <w:proofErr w:type="spellStart"/>
      <w:r w:rsidR="0012107A">
        <w:t>Novicki</w:t>
      </w:r>
      <w:proofErr w:type="spellEnd"/>
      <w:r w:rsidR="0012107A">
        <w:t xml:space="preserve">, </w:t>
      </w:r>
      <w:proofErr w:type="spellStart"/>
      <w:r w:rsidR="0012107A">
        <w:t>Naprstek</w:t>
      </w:r>
      <w:proofErr w:type="spellEnd"/>
      <w:r w:rsidR="0012107A">
        <w:t xml:space="preserve"> and </w:t>
      </w:r>
      <w:proofErr w:type="spellStart"/>
      <w:r w:rsidR="0012107A">
        <w:t>Schlote</w:t>
      </w:r>
      <w:proofErr w:type="spellEnd"/>
      <w:r w:rsidR="0012107A">
        <w:t>.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w:t>
      </w:r>
      <w:proofErr w:type="spellStart"/>
      <w:r>
        <w:t>Seip</w:t>
      </w:r>
      <w:proofErr w:type="spellEnd"/>
      <w:r>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 xml:space="preserve">Courtney </w:t>
      </w:r>
      <w:proofErr w:type="spellStart"/>
      <w:r>
        <w:t>Retzlaff</w:t>
      </w:r>
      <w:proofErr w:type="spellEnd"/>
      <w:r w:rsidR="00743CDE">
        <w:t xml:space="preserve"> was present</w:t>
      </w:r>
      <w:r>
        <w:t xml:space="preserve"> as City Clerk</w:t>
      </w:r>
      <w:r w:rsidR="00743CDE">
        <w:t>.</w:t>
      </w:r>
    </w:p>
    <w:p w:rsidR="00714130" w:rsidRPr="00BB7902" w:rsidRDefault="00714130" w:rsidP="00743CDE">
      <w:r w:rsidRPr="00BB7902">
        <w:t>Bruce Curtiss was present as City Attorney.</w:t>
      </w:r>
    </w:p>
    <w:p w:rsidR="004128B9" w:rsidRPr="00BB7902" w:rsidRDefault="004128B9" w:rsidP="00743CDE"/>
    <w:p w:rsidR="004128B9" w:rsidRDefault="00A617BE" w:rsidP="00743CDE">
      <w:proofErr w:type="spellStart"/>
      <w:r w:rsidRPr="00BB7902">
        <w:t>Schlote</w:t>
      </w:r>
      <w:proofErr w:type="spellEnd"/>
      <w:r w:rsidRPr="00BB7902">
        <w:t xml:space="preserve"> moved to ap</w:t>
      </w:r>
      <w:r w:rsidR="007B5996" w:rsidRPr="00BB7902">
        <w:t>p</w:t>
      </w:r>
      <w:r w:rsidR="006C6E74">
        <w:t>rove t</w:t>
      </w:r>
      <w:r w:rsidR="004F7151">
        <w:t xml:space="preserve">he minutes of the October 10th regular meeting. </w:t>
      </w:r>
      <w:proofErr w:type="spellStart"/>
      <w:r w:rsidR="004F7151">
        <w:t>Novicki</w:t>
      </w:r>
      <w:proofErr w:type="spellEnd"/>
      <w:r w:rsidRPr="00BB7902">
        <w:t xml:space="preserve"> seconded the motion. Motion ca</w:t>
      </w:r>
      <w:r w:rsidR="0012107A" w:rsidRPr="00BB7902">
        <w:t>rried 4-0.</w:t>
      </w:r>
    </w:p>
    <w:p w:rsidR="007B5996" w:rsidRDefault="007B5996" w:rsidP="00743CDE"/>
    <w:p w:rsidR="007B5996" w:rsidRDefault="004F7151" w:rsidP="00743CDE">
      <w:proofErr w:type="spellStart"/>
      <w:r>
        <w:t>Novicki</w:t>
      </w:r>
      <w:proofErr w:type="spellEnd"/>
      <w:r w:rsidR="007B5996">
        <w:t xml:space="preserve"> moved to appr</w:t>
      </w:r>
      <w:r w:rsidR="006C6E74">
        <w:t>ove t</w:t>
      </w:r>
      <w:r>
        <w:t>he minutes of the October 16</w:t>
      </w:r>
      <w:r w:rsidRPr="004F7151">
        <w:rPr>
          <w:vertAlign w:val="superscript"/>
        </w:rPr>
        <w:t>th</w:t>
      </w:r>
      <w:r>
        <w:t xml:space="preserve"> and November 8th special meetings. Cornett</w:t>
      </w:r>
      <w:r w:rsidR="007B5996">
        <w:t xml:space="preserve"> seconded the motion. Motion carried 4-0.</w:t>
      </w:r>
    </w:p>
    <w:p w:rsidR="00A617BE" w:rsidRDefault="00A617BE" w:rsidP="00743CDE"/>
    <w:p w:rsidR="007B5996" w:rsidRDefault="006C6E74" w:rsidP="00743CDE">
      <w:proofErr w:type="spellStart"/>
      <w:r>
        <w:t>Naprstek</w:t>
      </w:r>
      <w:proofErr w:type="spellEnd"/>
      <w:r w:rsidR="004138DC">
        <w:t xml:space="preserve"> moved to approve</w:t>
      </w:r>
      <w:r w:rsidR="00A617BE">
        <w:t xml:space="preserve"> claims and payroll</w:t>
      </w:r>
      <w:r w:rsidR="004138DC">
        <w:t xml:space="preserve"> against the city</w:t>
      </w:r>
      <w:r>
        <w:t xml:space="preserve">. </w:t>
      </w:r>
      <w:proofErr w:type="spellStart"/>
      <w:r>
        <w:t>Schlote</w:t>
      </w:r>
      <w:proofErr w:type="spellEnd"/>
      <w:r w:rsidR="00A617BE">
        <w:t xml:space="preserve"> seconded</w:t>
      </w:r>
      <w:r w:rsidR="0012107A">
        <w:t xml:space="preserve"> the motion. </w:t>
      </w:r>
    </w:p>
    <w:p w:rsidR="00A617BE" w:rsidRDefault="0012107A" w:rsidP="00743CDE">
      <w:r>
        <w:t>Motion carried 4-0.</w:t>
      </w:r>
    </w:p>
    <w:p w:rsidR="00826FF4" w:rsidRDefault="00826FF4" w:rsidP="00743CDE"/>
    <w:p w:rsidR="00826FF4" w:rsidRDefault="00826FF4" w:rsidP="00743CDE">
      <w:r>
        <w:t xml:space="preserve">Manor report was given by </w:t>
      </w:r>
      <w:proofErr w:type="spellStart"/>
      <w:r>
        <w:t>Juleen</w:t>
      </w:r>
      <w:proofErr w:type="spellEnd"/>
      <w:r>
        <w:t xml:space="preserve"> Johnson who reported that the building for the generator has been completed and all electrical has been installed. No FEMA money has been awarded yet and there is no definite time frame as to when any may be received by the Manor. The residents at the Manor and assisted living hosted over 100 children for trick-or-treating on Halloween. The year-end audit went well for the facility </w:t>
      </w:r>
      <w:r w:rsidR="000C5F00">
        <w:t>and Johnson was appreciative of</w:t>
      </w:r>
      <w:r>
        <w:t xml:space="preserve"> her staff for all of their </w:t>
      </w:r>
      <w:r>
        <w:lastRenderedPageBreak/>
        <w:t>excellent work. The holiday party for the employees will be held on December 4</w:t>
      </w:r>
      <w:r w:rsidRPr="00826FF4">
        <w:rPr>
          <w:vertAlign w:val="superscript"/>
        </w:rPr>
        <w:t>th</w:t>
      </w:r>
      <w:r>
        <w:t xml:space="preserve"> at Mary’s Restaurant. </w:t>
      </w:r>
    </w:p>
    <w:p w:rsidR="00826FF4" w:rsidRDefault="00826FF4" w:rsidP="00743CDE"/>
    <w:p w:rsidR="00826FF4" w:rsidRDefault="00826FF4" w:rsidP="00743CDE">
      <w:r>
        <w:t>Police C</w:t>
      </w:r>
      <w:r w:rsidR="009221FB">
        <w:t xml:space="preserve">hief </w:t>
      </w:r>
      <w:proofErr w:type="spellStart"/>
      <w:r w:rsidR="009221FB">
        <w:t>Yosten</w:t>
      </w:r>
      <w:proofErr w:type="spellEnd"/>
      <w:r w:rsidR="009221FB">
        <w:t xml:space="preserve"> reported on the activity of the department for the month and answered q</w:t>
      </w:r>
      <w:r w:rsidR="00134266">
        <w:t xml:space="preserve">uestions from council regarding </w:t>
      </w:r>
      <w:r w:rsidR="000C5F00">
        <w:t xml:space="preserve">the detail of </w:t>
      </w:r>
      <w:r w:rsidR="00E04CC7">
        <w:t xml:space="preserve">information provided to the public. </w:t>
      </w:r>
      <w:proofErr w:type="spellStart"/>
      <w:r w:rsidR="00E04CC7">
        <w:t>Naprstek</w:t>
      </w:r>
      <w:proofErr w:type="spellEnd"/>
      <w:r w:rsidR="00E04CC7">
        <w:t xml:space="preserve"> suggested that </w:t>
      </w:r>
      <w:proofErr w:type="spellStart"/>
      <w:r w:rsidR="00E04CC7">
        <w:t>Yosten</w:t>
      </w:r>
      <w:proofErr w:type="spellEnd"/>
      <w:r w:rsidR="00E04CC7">
        <w:t xml:space="preserve"> work with the newspaper to publish a monthly report. </w:t>
      </w:r>
    </w:p>
    <w:p w:rsidR="00E04CC7" w:rsidRDefault="00E04CC7" w:rsidP="00743CDE"/>
    <w:p w:rsidR="00E04CC7" w:rsidRDefault="00E04CC7" w:rsidP="00743CDE">
      <w:r>
        <w:t xml:space="preserve">Economic Development director Susan Norris </w:t>
      </w:r>
      <w:r w:rsidR="00293946">
        <w:t xml:space="preserve">gave updates on the future of True Value, her continued work with the LB840 committee </w:t>
      </w:r>
      <w:r w:rsidR="00523733">
        <w:t>on the ECAP program and a reminder on the meeting with the UNL Extension office representatives on Monday</w:t>
      </w:r>
      <w:r w:rsidR="000C5F00">
        <w:t>,</w:t>
      </w:r>
      <w:r w:rsidR="00523733">
        <w:t xml:space="preserve"> November 27</w:t>
      </w:r>
      <w:r w:rsidR="00523733" w:rsidRPr="00523733">
        <w:rPr>
          <w:vertAlign w:val="superscript"/>
        </w:rPr>
        <w:t>th</w:t>
      </w:r>
      <w:r w:rsidR="00523733">
        <w:t xml:space="preserve"> at 6:30 pm at the Plainview Library. Norris also reported that she had attended a </w:t>
      </w:r>
      <w:r w:rsidR="0029312C">
        <w:t xml:space="preserve">conference on Workforce Housing and Small-Scale Development in Kearney. There are several items she would like to bring back to the community and by working with the Housing Authority board Norris believes there are incentives we can offer to potential home buyers to make Plainview an appealing bedroom community. </w:t>
      </w:r>
      <w:r w:rsidR="007D5B86">
        <w:t xml:space="preserve">Norris is also continuing to work with the park board to secure grants for new equipment in </w:t>
      </w:r>
      <w:proofErr w:type="spellStart"/>
      <w:r w:rsidR="007D5B86">
        <w:t>Chilvers</w:t>
      </w:r>
      <w:proofErr w:type="spellEnd"/>
      <w:r w:rsidR="007D5B86">
        <w:t xml:space="preserve"> Park. </w:t>
      </w:r>
    </w:p>
    <w:p w:rsidR="000C5F00" w:rsidRDefault="000C5F00" w:rsidP="00743CDE"/>
    <w:p w:rsidR="007D5B86" w:rsidRDefault="007D5B86" w:rsidP="00743CDE">
      <w:r>
        <w:t xml:space="preserve">City Administrator Holton discussed a potential contract for Norris with the City for grant writing services. City Attorney Curtiss had looked over the contract and it will be added to the December council agenda for further discussion and action. </w:t>
      </w:r>
    </w:p>
    <w:p w:rsidR="007D5B86" w:rsidRDefault="007D5B86" w:rsidP="00743CDE"/>
    <w:p w:rsidR="007D5B86" w:rsidRDefault="007D5B86" w:rsidP="00743CDE">
      <w:r>
        <w:t>Holton also briefly spoke about the future use of the community building by the RC&amp;D, as that group will be without a location here in Plainview in the coming months. The group will be able to stay in their current location on Highway 20 until the building is sold. Dennis Wacker and Joan Alexander spoke o</w:t>
      </w:r>
      <w:r w:rsidR="004D00D8">
        <w:t xml:space="preserve">n behalf of the RC&amp;D and thanked the city for allowing the use of the community building to be considered. </w:t>
      </w:r>
      <w:r w:rsidR="000C5F00">
        <w:t xml:space="preserve"> Holton would like to</w:t>
      </w:r>
      <w:r>
        <w:t xml:space="preserve"> keep the organization in town. The use of the library for council meetings had been discussed at previous meetings and council members were asked to bring back feedback at the December meeting on the future of the community building for both organizations. </w:t>
      </w:r>
    </w:p>
    <w:p w:rsidR="004D00D8" w:rsidRDefault="004D00D8" w:rsidP="00743CDE"/>
    <w:p w:rsidR="004D00D8" w:rsidRDefault="004D00D8" w:rsidP="00743CDE">
      <w:r>
        <w:t xml:space="preserve">Bill </w:t>
      </w:r>
      <w:proofErr w:type="spellStart"/>
      <w:r>
        <w:t>Podraza</w:t>
      </w:r>
      <w:proofErr w:type="spellEnd"/>
      <w:r>
        <w:t xml:space="preserve"> and Reed Miller of Miller &amp; Associates Consulting Engineers, P.C. presented a brief overview of the services their firm provides for municipalities. Miller &amp; Associates serves several communities surrounding Plainview including Creighton, Brunswick, </w:t>
      </w:r>
      <w:proofErr w:type="spellStart"/>
      <w:r>
        <w:t>Wausa</w:t>
      </w:r>
      <w:proofErr w:type="spellEnd"/>
      <w:r>
        <w:t xml:space="preserve"> and Neligh. </w:t>
      </w:r>
      <w:proofErr w:type="spellStart"/>
      <w:r>
        <w:t>Podraza</w:t>
      </w:r>
      <w:proofErr w:type="spellEnd"/>
      <w:r>
        <w:t xml:space="preserve"> </w:t>
      </w:r>
      <w:r w:rsidR="00302520">
        <w:t xml:space="preserve">told the council of projects that Miller &amp; Associates has been involved in since beginning in 1976 and their commitment to serving the cities that they are </w:t>
      </w:r>
      <w:r w:rsidR="000C5F00">
        <w:t>involved with.</w:t>
      </w:r>
    </w:p>
    <w:p w:rsidR="00E75B5C" w:rsidRDefault="00E75B5C" w:rsidP="00743CDE"/>
    <w:p w:rsidR="00E75B5C" w:rsidRDefault="00E75B5C" w:rsidP="00743CDE">
      <w:pPr>
        <w:rPr>
          <w:b/>
        </w:rPr>
      </w:pPr>
      <w:r w:rsidRPr="00E75B5C">
        <w:rPr>
          <w:b/>
        </w:rPr>
        <w:t xml:space="preserve">At 8:15 P.M. Mayor </w:t>
      </w:r>
      <w:proofErr w:type="spellStart"/>
      <w:r w:rsidRPr="00E75B5C">
        <w:rPr>
          <w:b/>
        </w:rPr>
        <w:t>Seip</w:t>
      </w:r>
      <w:proofErr w:type="spellEnd"/>
      <w:r w:rsidRPr="00E75B5C">
        <w:rPr>
          <w:b/>
        </w:rPr>
        <w:t xml:space="preserve"> opened the Public Hearing for the LB840 Update</w:t>
      </w:r>
    </w:p>
    <w:p w:rsidR="00E75B5C" w:rsidRDefault="00E75B5C" w:rsidP="00743CDE">
      <w:r>
        <w:t>Com</w:t>
      </w:r>
      <w:r w:rsidR="000C5F00">
        <w:t>mittee member Dr. Mary Dougherty</w:t>
      </w:r>
      <w:r>
        <w:t xml:space="preserve"> spoke on the different projects that the group has been working on during the year which included the ECAP program, the creation of a loan program for </w:t>
      </w:r>
      <w:r w:rsidR="000C5F00">
        <w:t>existing businesses</w:t>
      </w:r>
      <w:r>
        <w:t xml:space="preserve">, the opening of Mary’s Restaurant and the future opening of Plainview </w:t>
      </w:r>
      <w:r>
        <w:lastRenderedPageBreak/>
        <w:t xml:space="preserve">Fitness. The housing study has also been completed and the results will be reviewed by the LB840 committee and housing board. </w:t>
      </w:r>
    </w:p>
    <w:p w:rsidR="00E75B5C" w:rsidRDefault="00E75B5C" w:rsidP="00743CDE"/>
    <w:p w:rsidR="00E75B5C" w:rsidRDefault="00E75B5C" w:rsidP="00743CDE">
      <w:r>
        <w:t xml:space="preserve">At 8:21 P.M. </w:t>
      </w:r>
      <w:proofErr w:type="spellStart"/>
      <w:r>
        <w:t>Schlote</w:t>
      </w:r>
      <w:proofErr w:type="spellEnd"/>
      <w:r>
        <w:t xml:space="preserve"> moved to close the public hearing. Cornett seconded the motion. Motion carried 4-0. </w:t>
      </w:r>
    </w:p>
    <w:p w:rsidR="00E75B5C" w:rsidRDefault="00E75B5C" w:rsidP="00743CDE"/>
    <w:p w:rsidR="00E75B5C" w:rsidRDefault="001E4882" w:rsidP="00743CDE">
      <w:r>
        <w:t xml:space="preserve">The council was given an update on the Suez water tower restoration contract. All permits from the state have been received and work will begin in the spring. </w:t>
      </w:r>
    </w:p>
    <w:p w:rsidR="001E4882" w:rsidRDefault="001E4882" w:rsidP="00743CDE"/>
    <w:p w:rsidR="001E4882" w:rsidRDefault="001E4882" w:rsidP="00743CDE">
      <w:r>
        <w:t>Plainview Sports Boosters Keno grant application was carried over from the October meeting at the request of the council. The school has paid $2,900 for the record boards that will be displayed in the Pirate Gym</w:t>
      </w:r>
      <w:r w:rsidR="00D4706C">
        <w:t xml:space="preserve"> and the Sports Boosters will contribute $2500 which leaves approximately $1500 remaining on the total invoice. Questions on the inclusion of records from 11-man football and pre-rally scoring volleyball were answered by Dr. </w:t>
      </w:r>
      <w:proofErr w:type="spellStart"/>
      <w:r w:rsidR="00D4706C">
        <w:t>Arlt</w:t>
      </w:r>
      <w:proofErr w:type="spellEnd"/>
      <w:r w:rsidR="00D4706C">
        <w:t xml:space="preserve">, who stated that additional boards were created by students in the Photoshop class at PHS. </w:t>
      </w:r>
      <w:proofErr w:type="spellStart"/>
      <w:r w:rsidR="00D4706C">
        <w:t>Arlt</w:t>
      </w:r>
      <w:proofErr w:type="spellEnd"/>
      <w:r w:rsidR="00D4706C">
        <w:t xml:space="preserve"> also said that only current NSAA events will be included on the record boards. </w:t>
      </w:r>
      <w:proofErr w:type="spellStart"/>
      <w:r w:rsidR="00D4706C">
        <w:t>Schlote</w:t>
      </w:r>
      <w:proofErr w:type="spellEnd"/>
      <w:r w:rsidR="00D4706C">
        <w:t xml:space="preserve"> moved to give $1500 to the Sports Boosters. </w:t>
      </w:r>
      <w:proofErr w:type="spellStart"/>
      <w:r w:rsidR="00D4706C">
        <w:t>Naprstek</w:t>
      </w:r>
      <w:proofErr w:type="spellEnd"/>
      <w:r w:rsidR="00D4706C">
        <w:t xml:space="preserve"> seconded the </w:t>
      </w:r>
      <w:r w:rsidR="00D4706C" w:rsidRPr="00A85739">
        <w:t>motion. Motion carried 4-0.</w:t>
      </w:r>
    </w:p>
    <w:p w:rsidR="00D4706C" w:rsidRDefault="00D4706C" w:rsidP="00743CDE"/>
    <w:p w:rsidR="003C37E7" w:rsidRDefault="003C37E7" w:rsidP="003C37E7">
      <w:r>
        <w:t xml:space="preserve">Council member </w:t>
      </w:r>
      <w:proofErr w:type="spellStart"/>
      <w:r>
        <w:t>Naprstek</w:t>
      </w:r>
      <w:proofErr w:type="spellEnd"/>
      <w:r>
        <w:t xml:space="preserve"> introduced the following resolution and moved for its adoption:</w:t>
      </w:r>
    </w:p>
    <w:p w:rsidR="003C37E7" w:rsidRDefault="003C37E7" w:rsidP="003C37E7"/>
    <w:p w:rsidR="003C37E7" w:rsidRPr="003C37E7" w:rsidRDefault="003C37E7" w:rsidP="003C37E7">
      <w:pPr>
        <w:jc w:val="center"/>
        <w:rPr>
          <w:b/>
        </w:rPr>
      </w:pPr>
      <w:r w:rsidRPr="003C37E7">
        <w:rPr>
          <w:b/>
        </w:rPr>
        <w:t>RESOLUTION #561</w:t>
      </w:r>
    </w:p>
    <w:p w:rsidR="003C37E7" w:rsidRDefault="003C37E7" w:rsidP="003C37E7">
      <w:pPr>
        <w:jc w:val="center"/>
      </w:pPr>
    </w:p>
    <w:p w:rsidR="003C37E7" w:rsidRDefault="003C37E7" w:rsidP="003C37E7">
      <w:r>
        <w:rPr>
          <w:b/>
        </w:rPr>
        <w:t xml:space="preserve">WHEREAS, </w:t>
      </w:r>
      <w:r>
        <w:t xml:space="preserve">the City of Plainview, Nebraska, is in need of a skid loader with attachments, </w:t>
      </w:r>
    </w:p>
    <w:p w:rsidR="003C37E7" w:rsidRDefault="003C37E7" w:rsidP="003C37E7"/>
    <w:p w:rsidR="003C37E7" w:rsidRDefault="003C37E7" w:rsidP="003C37E7">
      <w:proofErr w:type="gramStart"/>
      <w:r>
        <w:t>and</w:t>
      </w:r>
      <w:proofErr w:type="gramEnd"/>
    </w:p>
    <w:p w:rsidR="003C37E7" w:rsidRDefault="003C37E7" w:rsidP="003C37E7"/>
    <w:p w:rsidR="003C37E7" w:rsidRDefault="003C37E7" w:rsidP="003C37E7">
      <w:r w:rsidRPr="003C37E7">
        <w:rPr>
          <w:b/>
        </w:rPr>
        <w:t>WHEREAS</w:t>
      </w:r>
      <w:r>
        <w:rPr>
          <w:b/>
        </w:rPr>
        <w:t xml:space="preserve">, </w:t>
      </w:r>
      <w:r>
        <w:t>that purchase will require payment from the Municipal General Fund;</w:t>
      </w:r>
    </w:p>
    <w:p w:rsidR="003C37E7" w:rsidRDefault="003C37E7" w:rsidP="003C37E7"/>
    <w:p w:rsidR="003C37E7" w:rsidRDefault="003C37E7" w:rsidP="003C37E7">
      <w:r w:rsidRPr="003C37E7">
        <w:rPr>
          <w:b/>
        </w:rPr>
        <w:t>NOW THEREFORE BE IT RESOLVED</w:t>
      </w:r>
      <w:r>
        <w:rPr>
          <w:b/>
        </w:rPr>
        <w:t xml:space="preserve">, </w:t>
      </w:r>
      <w:r>
        <w:t>BY THE MAYOR AND COUNCIL OF THE CITY OF PLAINVIEW, NEBRASKA, THAT:</w:t>
      </w:r>
    </w:p>
    <w:p w:rsidR="003C37E7" w:rsidRDefault="003C37E7" w:rsidP="003C37E7"/>
    <w:p w:rsidR="003C37E7" w:rsidRDefault="003C37E7" w:rsidP="003C37E7">
      <w:pPr>
        <w:pStyle w:val="ListParagraph"/>
        <w:numPr>
          <w:ilvl w:val="0"/>
          <w:numId w:val="16"/>
        </w:numPr>
      </w:pPr>
      <w:r>
        <w:t xml:space="preserve">The City of Plainview, by, and through its Administration, is hereby authorized to trade in the </w:t>
      </w:r>
      <w:r w:rsidR="007A096A">
        <w:t xml:space="preserve">existing city owned Bobcat Skid loader, and purchase a S595 T4 Skid Steer Loader, MI </w:t>
      </w:r>
      <w:proofErr w:type="spellStart"/>
      <w:r w:rsidR="007A096A">
        <w:t>Brushcat</w:t>
      </w:r>
      <w:proofErr w:type="spellEnd"/>
      <w:r w:rsidR="007A096A">
        <w:t xml:space="preserve"> 72 and a MI Grapple 72 Root from Nebraska </w:t>
      </w:r>
      <w:proofErr w:type="spellStart"/>
      <w:r w:rsidR="007A096A">
        <w:t>Harvestor</w:t>
      </w:r>
      <w:proofErr w:type="spellEnd"/>
      <w:r w:rsidR="007A096A">
        <w:t xml:space="preserve"> Systems, Inc., and pay the same, in a sum not to exceed $30,878.10 out of the Municipal General Fund. </w:t>
      </w:r>
    </w:p>
    <w:p w:rsidR="007A096A" w:rsidRDefault="007A096A" w:rsidP="007A096A">
      <w:pPr>
        <w:pStyle w:val="ListParagraph"/>
      </w:pPr>
    </w:p>
    <w:p w:rsidR="007A096A" w:rsidRPr="003C37E7" w:rsidRDefault="007A096A" w:rsidP="003C37E7">
      <w:pPr>
        <w:pStyle w:val="ListParagraph"/>
        <w:numPr>
          <w:ilvl w:val="0"/>
          <w:numId w:val="16"/>
        </w:numPr>
      </w:pPr>
      <w:r>
        <w:t xml:space="preserve">A copy of this resolution shall be taken and accepted of evidence of the authority of such purchase. </w:t>
      </w:r>
    </w:p>
    <w:p w:rsidR="007D5B86" w:rsidRDefault="007D5B86" w:rsidP="00743CDE"/>
    <w:p w:rsidR="003C37E7" w:rsidRDefault="003C37E7" w:rsidP="00743CDE"/>
    <w:p w:rsidR="003C37E7" w:rsidRDefault="003C37E7" w:rsidP="003C37E7">
      <w:r>
        <w:lastRenderedPageBreak/>
        <w:t xml:space="preserve">Council member </w:t>
      </w:r>
      <w:proofErr w:type="spellStart"/>
      <w:r>
        <w:t>Schlote</w:t>
      </w:r>
      <w:proofErr w:type="spellEnd"/>
      <w:r>
        <w:t xml:space="preserve"> seconded the foregoing motion and on roll call on the passage and adoption of said resolution, the following voted Aye; </w:t>
      </w:r>
      <w:proofErr w:type="spellStart"/>
      <w:r>
        <w:t>Schlote</w:t>
      </w:r>
      <w:proofErr w:type="spellEnd"/>
      <w:r>
        <w:t xml:space="preserve">, </w:t>
      </w:r>
      <w:proofErr w:type="spellStart"/>
      <w:r>
        <w:t>Novicki</w:t>
      </w:r>
      <w:proofErr w:type="spellEnd"/>
      <w:r>
        <w:t xml:space="preserve">, </w:t>
      </w:r>
      <w:proofErr w:type="spellStart"/>
      <w:r>
        <w:t>Naprstek,Cornett</w:t>
      </w:r>
      <w:proofErr w:type="spellEnd"/>
      <w:r>
        <w:t xml:space="preserve"> Nay: None. Whereupon the Mayor declared said motion carried and Resolution #561 is passed and adopted.</w:t>
      </w:r>
    </w:p>
    <w:p w:rsidR="00EB3F96" w:rsidRDefault="00EB3F96" w:rsidP="003C37E7"/>
    <w:p w:rsidR="00EB3F96" w:rsidRDefault="00EB3F96" w:rsidP="003C37E7">
      <w:r>
        <w:t xml:space="preserve">Mayor </w:t>
      </w:r>
      <w:proofErr w:type="spellStart"/>
      <w:r>
        <w:t>Seip</w:t>
      </w:r>
      <w:proofErr w:type="spellEnd"/>
      <w:r>
        <w:t xml:space="preserve"> made the following proclamation.</w:t>
      </w:r>
    </w:p>
    <w:p w:rsidR="00EB3F96" w:rsidRDefault="00EB3F96" w:rsidP="003C37E7"/>
    <w:p w:rsidR="00EB3F96" w:rsidRPr="00EB3F96" w:rsidRDefault="00EB3F96" w:rsidP="00EB3F96">
      <w:r w:rsidRPr="00EB3F96">
        <w:t>Arbor Day was first observed in 1872, when J Sterling Morton proposed to the Nebraska Board of Agriculture that a special day be set aside for the planting of trees.</w:t>
      </w:r>
    </w:p>
    <w:p w:rsidR="00EB3F96" w:rsidRPr="00EB3F96" w:rsidRDefault="00EB3F96" w:rsidP="00EB3F96"/>
    <w:p w:rsidR="00EB3F96" w:rsidRPr="00EB3F96" w:rsidRDefault="00EB3F96" w:rsidP="00EB3F96">
      <w:r w:rsidRPr="00EB3F96">
        <w:t>That first Arbor Day more than a million trees were planted in Nebraska, and now Arbor Day is observed throughout the nation and the world.</w:t>
      </w:r>
    </w:p>
    <w:p w:rsidR="00EB3F96" w:rsidRPr="00EB3F96" w:rsidRDefault="00EB3F96" w:rsidP="00EB3F96"/>
    <w:p w:rsidR="00EB3F96" w:rsidRPr="00EB3F96" w:rsidRDefault="00EB3F96" w:rsidP="00EB3F96">
      <w:r w:rsidRPr="00EB3F96">
        <w:t>Trees are very beneficial, some of the benefits are: trees can reduce the erosion of our precious topsoil by wind and water, cut heating and cooling costs, moderate the temperature, clean the air, produce oxygen and provide habitat for wildlife.</w:t>
      </w:r>
    </w:p>
    <w:p w:rsidR="00EB3F96" w:rsidRPr="00EB3F96" w:rsidRDefault="00EB3F96" w:rsidP="00EB3F96"/>
    <w:p w:rsidR="00EB3F96" w:rsidRPr="00EB3F96" w:rsidRDefault="00EB3F96" w:rsidP="00EB3F96">
      <w:r w:rsidRPr="00EB3F96">
        <w:t>Trees are a renewable resource giving us paper, wood for our homes, fuel for our fires and countless other wood products.</w:t>
      </w:r>
    </w:p>
    <w:p w:rsidR="00EB3F96" w:rsidRPr="00EB3F96" w:rsidRDefault="00EB3F96" w:rsidP="00EB3F96"/>
    <w:p w:rsidR="00EB3F96" w:rsidRPr="00EB3F96" w:rsidRDefault="00EB3F96" w:rsidP="00EB3F96">
      <w:r w:rsidRPr="00EB3F96">
        <w:t>Trees increase property values, enhance the economic vitality of business areas, and beautify our community.</w:t>
      </w:r>
    </w:p>
    <w:p w:rsidR="00EB3F96" w:rsidRPr="00EB3F96" w:rsidRDefault="00EB3F96" w:rsidP="00EB3F96"/>
    <w:p w:rsidR="00EB3F96" w:rsidRPr="00EB3F96" w:rsidRDefault="00EB3F96" w:rsidP="00EB3F96">
      <w:r w:rsidRPr="00EB3F96">
        <w:t>Trees, wherever they are planted, are a source of joy and spiritual renewal.</w:t>
      </w:r>
    </w:p>
    <w:p w:rsidR="00EB3F96" w:rsidRPr="00EB3F96" w:rsidRDefault="00EB3F96" w:rsidP="00EB3F96"/>
    <w:p w:rsidR="00EB3F96" w:rsidRPr="00EB3F96" w:rsidRDefault="00EB3F96" w:rsidP="00EB3F96">
      <w:r w:rsidRPr="00EB3F96">
        <w:t xml:space="preserve">NOW, THEREFORE, I, Daren </w:t>
      </w:r>
      <w:proofErr w:type="spellStart"/>
      <w:r w:rsidRPr="00EB3F96">
        <w:t>Seip</w:t>
      </w:r>
      <w:proofErr w:type="spellEnd"/>
      <w:r w:rsidRPr="00EB3F96">
        <w:t>, Mayor of the City of Plainview, do hereby proclaim Friday, April 28</w:t>
      </w:r>
      <w:r w:rsidRPr="00EB3F96">
        <w:rPr>
          <w:vertAlign w:val="superscript"/>
        </w:rPr>
        <w:t>th</w:t>
      </w:r>
      <w:r w:rsidRPr="00EB3F96">
        <w:t>, 2017 as</w:t>
      </w:r>
    </w:p>
    <w:p w:rsidR="00EB3F96" w:rsidRPr="00EB3F96" w:rsidRDefault="00EB3F96" w:rsidP="00EB3F96"/>
    <w:p w:rsidR="00EB3F96" w:rsidRPr="00EB3F96" w:rsidRDefault="00EB3F96" w:rsidP="00EB3F96">
      <w:pPr>
        <w:jc w:val="center"/>
      </w:pPr>
      <w:r w:rsidRPr="00EB3F96">
        <w:t>ARBOR DAY</w:t>
      </w:r>
    </w:p>
    <w:p w:rsidR="00EB3F96" w:rsidRPr="00EB3F96" w:rsidRDefault="00EB3F96" w:rsidP="00EB3F96"/>
    <w:p w:rsidR="00EB3F96" w:rsidRDefault="00EB3F96" w:rsidP="00EB3F96">
      <w:r w:rsidRPr="00EB3F96">
        <w:t>in the City of Plainview, and I urge everyone to celebrate Arbor Day and to support efforts to protect our trees and woodlands, and I urge everyone to plant trees to promote the well-being of this and future generations.</w:t>
      </w:r>
    </w:p>
    <w:p w:rsidR="00DA70C4" w:rsidRDefault="00DA70C4" w:rsidP="00EB3F96"/>
    <w:p w:rsidR="00DA70C4" w:rsidRDefault="00DA70C4" w:rsidP="00EB3F96">
      <w:r>
        <w:t>An update on the payment for the paving completed earlier this year on 9</w:t>
      </w:r>
      <w:r w:rsidRPr="00DA70C4">
        <w:rPr>
          <w:vertAlign w:val="superscript"/>
        </w:rPr>
        <w:t>th</w:t>
      </w:r>
      <w:r>
        <w:t xml:space="preserve"> Street was given with clarification on the change orders that had been submitted by JEO Consulting. City Attorney Curtiss explained that the change orders are with Pierce County </w:t>
      </w:r>
      <w:r w:rsidR="00804F1C">
        <w:t>and not the city. The council would like to see a 5 year guarantee on the road and would then pay the r</w:t>
      </w:r>
      <w:r w:rsidR="00344333">
        <w:t xml:space="preserve">emaining balance due after all changes to the project costs are applied. </w:t>
      </w:r>
    </w:p>
    <w:p w:rsidR="00804F1C" w:rsidRDefault="00804F1C" w:rsidP="00EB3F96"/>
    <w:p w:rsidR="00804F1C" w:rsidRDefault="00804F1C" w:rsidP="00EB3F96">
      <w:r>
        <w:lastRenderedPageBreak/>
        <w:t xml:space="preserve">City Superintendent </w:t>
      </w:r>
      <w:proofErr w:type="spellStart"/>
      <w:r>
        <w:t>Cederburg</w:t>
      </w:r>
      <w:proofErr w:type="spellEnd"/>
      <w:r>
        <w:t xml:space="preserve"> gave an update on the purchase of a semi and trailer for the transfer station. He along with Russ Cleveland have been in contact with several dealerships around the area and </w:t>
      </w:r>
      <w:proofErr w:type="spellStart"/>
      <w:r>
        <w:t>Cederburg</w:t>
      </w:r>
      <w:proofErr w:type="spellEnd"/>
      <w:r>
        <w:t xml:space="preserve"> presented 5 options for semis to the council for consideration. </w:t>
      </w:r>
      <w:proofErr w:type="spellStart"/>
      <w:r>
        <w:t>Naprstek</w:t>
      </w:r>
      <w:proofErr w:type="spellEnd"/>
      <w:r>
        <w:t xml:space="preserve"> moved for </w:t>
      </w:r>
      <w:proofErr w:type="spellStart"/>
      <w:r>
        <w:t>Cederburg</w:t>
      </w:r>
      <w:proofErr w:type="spellEnd"/>
      <w:r>
        <w:t xml:space="preserve"> and Cleveland to look at the trucks located in Lyons, NE and Davenport, IA with approval to spend up to $35,000. </w:t>
      </w:r>
      <w:proofErr w:type="spellStart"/>
      <w:r>
        <w:t>Schlote</w:t>
      </w:r>
      <w:proofErr w:type="spellEnd"/>
      <w:r>
        <w:t xml:space="preserve"> seconded the motion. Motion carried 4-0.</w:t>
      </w:r>
    </w:p>
    <w:p w:rsidR="00804F1C" w:rsidRDefault="00804F1C" w:rsidP="00EB3F96"/>
    <w:p w:rsidR="00804F1C" w:rsidRDefault="00804F1C" w:rsidP="00EB3F96">
      <w:proofErr w:type="spellStart"/>
      <w:r>
        <w:t>Cederburg</w:t>
      </w:r>
      <w:proofErr w:type="spellEnd"/>
      <w:r>
        <w:t xml:space="preserve"> also will pursue bids for a new trailer which would cost between $62-70,000. The trailer would be brand new and built within 120 days from the order date. Bids will be brought back to the December meeting for the council to review. </w:t>
      </w:r>
    </w:p>
    <w:p w:rsidR="00804F1C" w:rsidRDefault="00804F1C" w:rsidP="00EB3F96"/>
    <w:p w:rsidR="00804F1C" w:rsidRDefault="00804F1C" w:rsidP="00EB3F96">
      <w:r>
        <w:t xml:space="preserve">A report on the use of NCPPD for </w:t>
      </w:r>
      <w:r w:rsidR="00CA5AAE">
        <w:t>power outages was given and the overall impression was favorable. Petersen Electric has been contracted to repair electrical is</w:t>
      </w:r>
      <w:r w:rsidR="00FA711A">
        <w:t xml:space="preserve">sues as needed within the city and this has been a positive relationship. </w:t>
      </w:r>
    </w:p>
    <w:p w:rsidR="00FA711A" w:rsidRDefault="00FA711A" w:rsidP="00EB3F96"/>
    <w:p w:rsidR="00FA711A" w:rsidRDefault="00FA711A" w:rsidP="00EB3F96">
      <w:r>
        <w:t xml:space="preserve">The Plainview Clothing Closet had contacted the city asking to utilize the old ice house for storage of the donations they are collecting </w:t>
      </w:r>
      <w:r w:rsidR="00111911">
        <w:t>of new and gently used clothing</w:t>
      </w:r>
      <w:r w:rsidR="00DB63F5">
        <w:t xml:space="preserve"> for those </w:t>
      </w:r>
      <w:r w:rsidR="00344333">
        <w:t>in need in the community. Access would be granted only during city office hours under the supervision of a city employee</w:t>
      </w:r>
      <w:r w:rsidR="00DB63F5">
        <w:t xml:space="preserve">. </w:t>
      </w:r>
      <w:proofErr w:type="spellStart"/>
      <w:r w:rsidR="00DB63F5">
        <w:t>Schlote</w:t>
      </w:r>
      <w:proofErr w:type="spellEnd"/>
      <w:r w:rsidR="00DB63F5">
        <w:t xml:space="preserve"> moved to approve the utilization of the area for storage. </w:t>
      </w:r>
      <w:proofErr w:type="spellStart"/>
      <w:r w:rsidR="00DB63F5">
        <w:t>Naprstek</w:t>
      </w:r>
      <w:proofErr w:type="spellEnd"/>
      <w:r w:rsidR="00DB63F5">
        <w:t xml:space="preserve"> seconded the motion. Motion carried 4-0.</w:t>
      </w:r>
    </w:p>
    <w:p w:rsidR="00DB63F5" w:rsidRDefault="00DB63F5" w:rsidP="00EB3F96"/>
    <w:p w:rsidR="00DB63F5" w:rsidRDefault="00DB63F5" w:rsidP="00EB3F96">
      <w:r>
        <w:t xml:space="preserve">Discussion was held on installing security cameras in the office buildings and library as a safety measure for the city employees and the public. The access to the camera images would need to be limited to administrative staff and law enforcement. </w:t>
      </w:r>
      <w:proofErr w:type="spellStart"/>
      <w:r w:rsidR="0018358C">
        <w:t>Naprstek</w:t>
      </w:r>
      <w:proofErr w:type="spellEnd"/>
      <w:r w:rsidR="0018358C">
        <w:t xml:space="preserve"> asked the city staff to seek bids for cameras and also contact Plainview Telephone to request a presentation on the services they provide at the December meeting. </w:t>
      </w:r>
    </w:p>
    <w:p w:rsidR="0018358C" w:rsidRDefault="0018358C" w:rsidP="00EB3F96"/>
    <w:p w:rsidR="0018358C" w:rsidRDefault="0018358C" w:rsidP="00EB3F96">
      <w:r>
        <w:t xml:space="preserve">At the request of council members, a review of the recently updated Ordinance #510 for dangerous dogs was held. Several issues were brought up in regards to the enforcement of ordinances in general, the process that is followed when a citation is issued and basic overview of the responsibilities of police personnel. Mayor </w:t>
      </w:r>
      <w:proofErr w:type="spellStart"/>
      <w:r>
        <w:t>Seip</w:t>
      </w:r>
      <w:proofErr w:type="spellEnd"/>
      <w:r>
        <w:t xml:space="preserve"> agreed to speak with Chief </w:t>
      </w:r>
      <w:proofErr w:type="spellStart"/>
      <w:r>
        <w:t>Yosten</w:t>
      </w:r>
      <w:proofErr w:type="spellEnd"/>
      <w:r>
        <w:t xml:space="preserve"> to clear up issues brought forward by the council and public. </w:t>
      </w:r>
    </w:p>
    <w:p w:rsidR="0018358C" w:rsidRDefault="0018358C" w:rsidP="00EB3F96"/>
    <w:p w:rsidR="0018358C" w:rsidRDefault="0018358C" w:rsidP="00EB3F96">
      <w:r>
        <w:t xml:space="preserve">City Attorney comments included adding the updated Ordinance for curfew hours to the December meeting and an update on the future sale of the old library building. </w:t>
      </w:r>
    </w:p>
    <w:p w:rsidR="0018358C" w:rsidRDefault="0018358C" w:rsidP="00EB3F96"/>
    <w:p w:rsidR="0018358C" w:rsidRDefault="00A07EC7" w:rsidP="00EB3F96">
      <w:r>
        <w:t xml:space="preserve">Council member </w:t>
      </w:r>
      <w:proofErr w:type="spellStart"/>
      <w:r>
        <w:t>Novicki</w:t>
      </w:r>
      <w:proofErr w:type="spellEnd"/>
      <w:r>
        <w:t xml:space="preserve"> commented on the equipment that that had not been properly stored away for the season by the </w:t>
      </w:r>
      <w:proofErr w:type="spellStart"/>
      <w:r>
        <w:t>Ballbackers</w:t>
      </w:r>
      <w:proofErr w:type="spellEnd"/>
      <w:r>
        <w:t xml:space="preserve">. </w:t>
      </w:r>
      <w:proofErr w:type="spellStart"/>
      <w:r>
        <w:t>Schlote</w:t>
      </w:r>
      <w:proofErr w:type="spellEnd"/>
      <w:r>
        <w:t xml:space="preserve"> stated that he attended a council meeting in a neighboring town and noted that the reports of department heads was at the end of the agenda. City a</w:t>
      </w:r>
      <w:bookmarkStart w:id="0" w:name="_GoBack"/>
      <w:bookmarkEnd w:id="0"/>
      <w:r>
        <w:t xml:space="preserve">dministration will explore the option of changing the order of the meeting. </w:t>
      </w:r>
    </w:p>
    <w:p w:rsidR="00A07EC7" w:rsidRDefault="00A07EC7" w:rsidP="00EB3F96"/>
    <w:p w:rsidR="00315E46" w:rsidRDefault="00A07EC7" w:rsidP="004F7151">
      <w:r>
        <w:lastRenderedPageBreak/>
        <w:t xml:space="preserve">City Administrator Holton gave a quick update on the electric rate study with NCPPD and mentioned that an article was published about public transportation in rural communities. The magazine interviewed Holton and Arnie </w:t>
      </w:r>
      <w:proofErr w:type="spellStart"/>
      <w:r>
        <w:t>Oltjenbruns</w:t>
      </w:r>
      <w:proofErr w:type="spellEnd"/>
      <w:r>
        <w:t xml:space="preserve"> about the use of Plainview’s </w:t>
      </w:r>
      <w:proofErr w:type="spellStart"/>
      <w:r>
        <w:t>Handivan</w:t>
      </w:r>
      <w:proofErr w:type="spellEnd"/>
      <w:r>
        <w:t>.</w:t>
      </w:r>
      <w:r w:rsidR="00315E46">
        <w:tab/>
      </w:r>
    </w:p>
    <w:p w:rsidR="00B56AAF" w:rsidRDefault="00B56AAF" w:rsidP="00315E46"/>
    <w:p w:rsidR="005E0941" w:rsidRDefault="005E0941" w:rsidP="005E0941">
      <w:pPr>
        <w:pStyle w:val="ListParagraph"/>
      </w:pPr>
    </w:p>
    <w:p w:rsidR="00A567D8" w:rsidRDefault="00A567D8" w:rsidP="00743CDE">
      <w:r>
        <w:t xml:space="preserve">It was moved </w:t>
      </w:r>
      <w:r w:rsidR="004F7151">
        <w:t xml:space="preserve">by </w:t>
      </w:r>
      <w:proofErr w:type="spellStart"/>
      <w:r w:rsidR="004F7151">
        <w:t>Naprstek</w:t>
      </w:r>
      <w:proofErr w:type="spellEnd"/>
      <w:r w:rsidR="00135AC0">
        <w:t>, seconded by Cornett</w:t>
      </w:r>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4F7151" w:rsidP="00743CDE">
      <w:r>
        <w:t>TIME: 10:08</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w:t>
      </w:r>
      <w:proofErr w:type="spellStart"/>
      <w:r>
        <w:t>Seip</w:t>
      </w:r>
      <w:proofErr w:type="spellEnd"/>
      <w:r>
        <w:t xml:space="preserve">,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w:t>
      </w:r>
      <w:proofErr w:type="spellStart"/>
      <w:r>
        <w:t>Retzlaff</w:t>
      </w:r>
      <w:proofErr w:type="spellEnd"/>
      <w:r>
        <w:t xml:space="preserve">,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4F7151">
        <w:t>11/20</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w:t>
      </w:r>
      <w:proofErr w:type="spellStart"/>
      <w:r>
        <w:t>Retzlaff</w:t>
      </w:r>
      <w:proofErr w:type="spellEnd"/>
      <w:r>
        <w:t xml:space="preserve">, </w:t>
      </w:r>
      <w:r w:rsidR="00743CDE">
        <w:t>City Clerk</w:t>
      </w:r>
      <w:r>
        <w:t>/Treasurer</w:t>
      </w:r>
      <w:r w:rsidR="00743CDE">
        <w:t xml:space="preserve">                                                              (SEAL)</w:t>
      </w:r>
    </w:p>
    <w:p w:rsidR="00D478BB" w:rsidRDefault="00D478BB" w:rsidP="00743CDE">
      <w:pPr>
        <w:tabs>
          <w:tab w:val="center" w:pos="4320"/>
          <w:tab w:val="decimal" w:pos="7200"/>
        </w:tabs>
      </w:pPr>
    </w:p>
    <w:p w:rsidR="00D478BB" w:rsidRDefault="00D478BB" w:rsidP="00743CDE">
      <w:pPr>
        <w:tabs>
          <w:tab w:val="center" w:pos="4320"/>
          <w:tab w:val="decimal" w:pos="7200"/>
        </w:tabs>
      </w:pPr>
    </w:p>
    <w:p w:rsidR="00D478BB" w:rsidRDefault="00D478BB" w:rsidP="00743CDE">
      <w:pPr>
        <w:tabs>
          <w:tab w:val="center" w:pos="4320"/>
          <w:tab w:val="decimal" w:pos="7200"/>
        </w:tabs>
      </w:pPr>
    </w:p>
    <w:p w:rsidR="00D478BB" w:rsidRDefault="00D478BB" w:rsidP="00743CDE">
      <w:pPr>
        <w:tabs>
          <w:tab w:val="center" w:pos="4320"/>
          <w:tab w:val="decimal" w:pos="7200"/>
        </w:tabs>
      </w:pPr>
    </w:p>
    <w:p w:rsidR="00D478BB" w:rsidRDefault="00D478BB" w:rsidP="00D478BB">
      <w:pPr>
        <w:tabs>
          <w:tab w:val="center" w:pos="4320"/>
          <w:tab w:val="decimal" w:pos="7200"/>
        </w:tabs>
        <w:jc w:val="center"/>
      </w:pPr>
    </w:p>
    <w:tbl>
      <w:tblPr>
        <w:tblW w:w="8363" w:type="dxa"/>
        <w:tblLook w:val="04A0" w:firstRow="1" w:lastRow="0" w:firstColumn="1" w:lastColumn="0" w:noHBand="0" w:noVBand="1"/>
      </w:tblPr>
      <w:tblGrid>
        <w:gridCol w:w="720"/>
        <w:gridCol w:w="816"/>
        <w:gridCol w:w="3906"/>
        <w:gridCol w:w="1957"/>
        <w:gridCol w:w="1116"/>
      </w:tblGrid>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rPr>
                <w:sz w:val="20"/>
                <w:szCs w:val="2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Postmaster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Postage</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11.15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NSAWWA</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Dues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Jimson Towing, Recovery &amp; Repair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Bruce </w:t>
            </w:r>
            <w:proofErr w:type="spellStart"/>
            <w:r w:rsidRPr="00D478BB">
              <w:rPr>
                <w:color w:val="000000"/>
              </w:rPr>
              <w:t>Yosten</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99.42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Tyler Wells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147.21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Jerry Neumann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121.12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13759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Verizon Wireless </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Cellphones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481.03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Curt Hart</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Plainview News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656.75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City of </w:t>
            </w:r>
            <w:proofErr w:type="spellStart"/>
            <w:r w:rsidRPr="00D478BB">
              <w:rPr>
                <w:color w:val="000000"/>
              </w:rPr>
              <w:t>Plv</w:t>
            </w:r>
            <w:proofErr w:type="spellEnd"/>
            <w:r w:rsidRPr="00D478BB">
              <w:rPr>
                <w:color w:val="000000"/>
              </w:rPr>
              <w:t xml:space="preserve"> </w:t>
            </w:r>
            <w:proofErr w:type="spellStart"/>
            <w:r w:rsidRPr="00D478BB">
              <w:rPr>
                <w:color w:val="000000"/>
              </w:rPr>
              <w:t>Osm</w:t>
            </w:r>
            <w:proofErr w:type="spellEnd"/>
            <w:r w:rsidRPr="00D478BB">
              <w:rPr>
                <w:color w:val="000000"/>
              </w:rPr>
              <w:t>/</w:t>
            </w:r>
            <w:proofErr w:type="spellStart"/>
            <w:r w:rsidRPr="00D478BB">
              <w:rPr>
                <w:color w:val="000000"/>
              </w:rPr>
              <w:t>Plv</w:t>
            </w:r>
            <w:proofErr w:type="spellEnd"/>
            <w:r w:rsidRPr="00D478BB">
              <w:rPr>
                <w:color w:val="000000"/>
              </w:rPr>
              <w:t xml:space="preserve"> Housing</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42.00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City of </w:t>
            </w:r>
            <w:proofErr w:type="spellStart"/>
            <w:r w:rsidRPr="00D478BB">
              <w:rPr>
                <w:color w:val="000000"/>
              </w:rPr>
              <w:t>Plv</w:t>
            </w:r>
            <w:proofErr w:type="spellEnd"/>
            <w:r w:rsidRPr="00D478BB">
              <w:rPr>
                <w:color w:val="000000"/>
              </w:rPr>
              <w:t xml:space="preserve"> Housing Authority</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111.00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Terry Baller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Plainview</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Pool Sales Tax</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7826.19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Plainview</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Library Sales Tax</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4191.90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Plainview</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Manor Sales Tax</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4191.90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Plainview</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Eco Dev Sales Tax</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4191.90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13769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Midwest Bank</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Emp</w:t>
            </w:r>
            <w:proofErr w:type="spellEnd"/>
            <w:r w:rsidRPr="00D478BB">
              <w:rPr>
                <w:color w:val="000000"/>
              </w:rPr>
              <w:t xml:space="preserve"> H.S.A.</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13770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Chilvers</w:t>
            </w:r>
            <w:proofErr w:type="spellEnd"/>
            <w:r w:rsidRPr="00D478BB">
              <w:rPr>
                <w:color w:val="000000"/>
              </w:rPr>
              <w:t xml:space="preserve"> Abstract &amp; Title Co.,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House Deed</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110.50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13771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New York Life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Emp</w:t>
            </w:r>
            <w:proofErr w:type="spellEnd"/>
            <w:r w:rsidRPr="00D478BB">
              <w:rPr>
                <w:color w:val="000000"/>
              </w:rPr>
              <w:t xml:space="preserve"> Ins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141.70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13772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Postmaster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Postage</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163.89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13773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AFLAC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Emp</w:t>
            </w:r>
            <w:proofErr w:type="spellEnd"/>
            <w:r w:rsidRPr="00D478BB">
              <w:rPr>
                <w:color w:val="000000"/>
              </w:rPr>
              <w:t xml:space="preserve"> Ins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502.45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13774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City of </w:t>
            </w:r>
            <w:proofErr w:type="spellStart"/>
            <w:r w:rsidRPr="00D478BB">
              <w:rPr>
                <w:color w:val="000000"/>
              </w:rPr>
              <w:t>Plv</w:t>
            </w:r>
            <w:proofErr w:type="spellEnd"/>
            <w:r w:rsidRPr="00D478BB">
              <w:rPr>
                <w:color w:val="000000"/>
              </w:rPr>
              <w:t xml:space="preserve"> </w:t>
            </w:r>
            <w:proofErr w:type="spellStart"/>
            <w:r w:rsidRPr="00D478BB">
              <w:rPr>
                <w:color w:val="000000"/>
              </w:rPr>
              <w:t>Osm</w:t>
            </w:r>
            <w:proofErr w:type="spellEnd"/>
            <w:r w:rsidRPr="00D478BB">
              <w:rPr>
                <w:color w:val="000000"/>
              </w:rPr>
              <w:t>/</w:t>
            </w:r>
            <w:proofErr w:type="spellStart"/>
            <w:r w:rsidRPr="00D478BB">
              <w:rPr>
                <w:color w:val="000000"/>
              </w:rPr>
              <w:t>Plv</w:t>
            </w:r>
            <w:proofErr w:type="spellEnd"/>
            <w:r w:rsidRPr="00D478BB">
              <w:rPr>
                <w:color w:val="000000"/>
              </w:rPr>
              <w:t xml:space="preserve"> Housing</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103.02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13775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GreatAmerica</w:t>
            </w:r>
            <w:proofErr w:type="spellEnd"/>
            <w:r w:rsidRPr="00D478BB">
              <w:rPr>
                <w:color w:val="000000"/>
              </w:rPr>
              <w:t xml:space="preserve"> Financial Services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143.37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19364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1957"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c>
          <w:tcPr>
            <w:tcW w:w="1080"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19375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Thru</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Payroll </w:t>
            </w:r>
            <w:r>
              <w:rPr>
                <w:color w:val="000000"/>
              </w:rPr>
              <w:t xml:space="preserve">            </w:t>
            </w:r>
            <w:r w:rsidRPr="00D478BB">
              <w:rPr>
                <w:color w:val="000000"/>
              </w:rPr>
              <w:t>10-13-2017</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20207.23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19376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1957"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c>
          <w:tcPr>
            <w:tcW w:w="1080"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19384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Thru</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Payroll </w:t>
            </w:r>
            <w:r>
              <w:rPr>
                <w:color w:val="000000"/>
              </w:rPr>
              <w:t xml:space="preserve">             </w:t>
            </w:r>
            <w:r w:rsidRPr="00D478BB">
              <w:rPr>
                <w:color w:val="000000"/>
              </w:rPr>
              <w:t>10-30-2017</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13719.36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19385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1957"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c>
          <w:tcPr>
            <w:tcW w:w="1080"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sz w:val="20"/>
                <w:szCs w:val="2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Thru</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Payroll </w:t>
            </w:r>
            <w:r>
              <w:rPr>
                <w:color w:val="000000"/>
              </w:rPr>
              <w:t xml:space="preserve">             </w:t>
            </w:r>
            <w:r w:rsidRPr="00D478BB">
              <w:rPr>
                <w:color w:val="000000"/>
              </w:rPr>
              <w:t>11-15-207</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19353.82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Alby's Electric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61.72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Angie </w:t>
            </w:r>
            <w:proofErr w:type="spellStart"/>
            <w:r w:rsidRPr="00D478BB">
              <w:rPr>
                <w:color w:val="000000"/>
              </w:rPr>
              <w:t>Frahm</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203.71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Arnold </w:t>
            </w:r>
            <w:proofErr w:type="spellStart"/>
            <w:r w:rsidRPr="00D478BB">
              <w:rPr>
                <w:color w:val="000000"/>
              </w:rPr>
              <w:t>Oltjenbruns</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8.59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Bert </w:t>
            </w:r>
            <w:proofErr w:type="spellStart"/>
            <w:r w:rsidRPr="00D478BB">
              <w:rPr>
                <w:color w:val="000000"/>
              </w:rPr>
              <w:t>Cauthon</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Meter Refund</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32.39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Bomgaars</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267.81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19399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Eileen </w:t>
            </w:r>
            <w:proofErr w:type="spellStart"/>
            <w:r w:rsidRPr="00D478BB">
              <w:rPr>
                <w:color w:val="000000"/>
              </w:rPr>
              <w:t>Bramer</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54.49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Bud's Sanitary Service LLC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5267.00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Bullseye Fire Sprinkler </w:t>
            </w:r>
            <w:proofErr w:type="spellStart"/>
            <w:r w:rsidRPr="00D478BB">
              <w:rPr>
                <w:color w:val="000000"/>
              </w:rPr>
              <w:t>Inc</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350.00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Casey's General Stores </w:t>
            </w:r>
            <w:proofErr w:type="spellStart"/>
            <w:r w:rsidRPr="00D478BB">
              <w:rPr>
                <w:color w:val="000000"/>
              </w:rPr>
              <w:t>Inc</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Fuel</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628.80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Central Plains Library Systems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59.23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Norfolk</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37.00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Plainview</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5089.67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City of Plainview C&amp;D Sinking Fund</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City of </w:t>
            </w:r>
            <w:proofErr w:type="spellStart"/>
            <w:r w:rsidRPr="00D478BB">
              <w:rPr>
                <w:color w:val="000000"/>
              </w:rPr>
              <w:t>Plv</w:t>
            </w:r>
            <w:proofErr w:type="spellEnd"/>
            <w:r w:rsidRPr="00D478BB">
              <w:rPr>
                <w:color w:val="000000"/>
              </w:rPr>
              <w:t xml:space="preserve"> Housing Authority</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111.00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Classic Rentals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268.54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19409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Combined Revenue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3168.96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Comfort Inn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Hotel Rooms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199.90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Corey Doty</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Meter Refund</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Cornhusker Auto Center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586.62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Cornhusker Press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Dog Tags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78.99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Courtney </w:t>
            </w:r>
            <w:proofErr w:type="spellStart"/>
            <w:r w:rsidRPr="00D478BB">
              <w:rPr>
                <w:color w:val="000000"/>
              </w:rPr>
              <w:t>Retzlaff</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165.78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Curtiss Law Office P.C., L.L.O.</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1916.00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Department of Energy</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5243.49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Donna Christiansen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203.88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Eakes</w:t>
            </w:r>
            <w:proofErr w:type="spellEnd"/>
            <w:r w:rsidRPr="00D478BB">
              <w:rPr>
                <w:color w:val="000000"/>
              </w:rPr>
              <w:t xml:space="preserve"> Office Solutions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270.65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19419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Electrical System Sinking Fund</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2000.00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Fairfield Inn &amp; Suites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Hotel Rooms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1169.55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Floor Maintenance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40.70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Francotyp-Postalia</w:t>
            </w:r>
            <w:proofErr w:type="spellEnd"/>
            <w:r w:rsidRPr="00D478BB">
              <w:rPr>
                <w:color w:val="000000"/>
              </w:rPr>
              <w:t>,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165.00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Hansen Brothers Parts &amp; Service,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3.38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Heartland Fire Protection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83.00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Hoffart</w:t>
            </w:r>
            <w:proofErr w:type="spellEnd"/>
            <w:r w:rsidRPr="00D478BB">
              <w:rPr>
                <w:color w:val="000000"/>
              </w:rPr>
              <w:t xml:space="preserve"> Machine Repair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412.81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Ingram Library Services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632.99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Itron</w:t>
            </w:r>
            <w:proofErr w:type="spellEnd"/>
            <w:r w:rsidRPr="00D478BB">
              <w:rPr>
                <w:color w:val="000000"/>
              </w:rPr>
              <w:t>,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1594.71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Jack's Uniforms &amp; Equipment</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72.90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19429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Jerry Neumann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35.00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Johnson Repair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760.34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K'Lawn</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112.00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Kelly Supply Company</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147.10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Kimball-Midwest</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136.37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L.P. Gill,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14008.28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Mahaska</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27.60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Manzer</w:t>
            </w:r>
            <w:proofErr w:type="spellEnd"/>
            <w:r w:rsidRPr="00D478BB">
              <w:rPr>
                <w:color w:val="000000"/>
              </w:rPr>
              <w:t xml:space="preserve"> Equipment,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153.00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Matheson Tri-Gas,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27.86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Michael Todd &amp; Co.,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1092.17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19439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Midwest Service &amp; Sales Co.</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2753.40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Mitch's Food Center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130.08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MEAN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70263.02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NE. Public Health </w:t>
            </w:r>
            <w:proofErr w:type="spellStart"/>
            <w:r w:rsidRPr="00D478BB">
              <w:rPr>
                <w:color w:val="000000"/>
              </w:rPr>
              <w:t>Eniv</w:t>
            </w:r>
            <w:proofErr w:type="spellEnd"/>
            <w:r w:rsidRPr="00D478BB">
              <w:rPr>
                <w:color w:val="000000"/>
              </w:rPr>
              <w:t xml:space="preserve"> Lab</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61.00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Nebraska Library Commission </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Nebraska Municipal Clerks' Association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Dues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35.00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Nebraska Municipal Power Pool</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150.00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North Central PPD</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1005.00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Olympia Book Corp</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259.51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One Office Solution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37.80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19449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Overhead Door Co. of Norfolk</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259.75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Petersen Electric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152.25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Plainview Auto Supply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248.16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Plainview News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495.24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Plainview Public Schools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Liquor License</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Plainview True Value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88.74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POAN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Dues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45.00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Police Chiefs Association of Nebraska</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Dues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Raymond Partee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Meter Refund</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166.32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Rollie</w:t>
            </w:r>
            <w:proofErr w:type="spellEnd"/>
            <w:r w:rsidRPr="00D478BB">
              <w:rPr>
                <w:color w:val="000000"/>
              </w:rPr>
              <w:t xml:space="preserve"> </w:t>
            </w:r>
            <w:proofErr w:type="spellStart"/>
            <w:r w:rsidRPr="00D478BB">
              <w:rPr>
                <w:color w:val="000000"/>
              </w:rPr>
              <w:t>Cederburg</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Reim</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212.40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19459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Rueter's</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1150.16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S&amp;S Express L.L.C.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5839.22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Schaefer Grain Co.</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487.40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Special T's &amp; More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96.00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Stan Evans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160.00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Staybridge</w:t>
            </w:r>
            <w:proofErr w:type="spellEnd"/>
            <w:r w:rsidRPr="00D478BB">
              <w:rPr>
                <w:color w:val="000000"/>
              </w:rPr>
              <w:t xml:space="preserve"> Suites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Hotel Rooms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416.10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Steinkraus Service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Fuel/Svc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2261.40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The </w:t>
            </w:r>
            <w:proofErr w:type="spellStart"/>
            <w:r w:rsidRPr="00D478BB">
              <w:rPr>
                <w:color w:val="000000"/>
              </w:rPr>
              <w:t>Farner</w:t>
            </w:r>
            <w:proofErr w:type="spellEnd"/>
            <w:r w:rsidRPr="00D478BB">
              <w:rPr>
                <w:color w:val="000000"/>
              </w:rPr>
              <w:t xml:space="preserve"> Co. </w:t>
            </w:r>
            <w:proofErr w:type="spellStart"/>
            <w:r w:rsidRPr="00D478BB">
              <w:rPr>
                <w:color w:val="000000"/>
              </w:rPr>
              <w:t>Inc</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44.01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The Glass Edge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8307.00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19468</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USA Bluebook</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1176.32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19469</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Verizon Wireless </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Cellphones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478.30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19470</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Volkman</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347.93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19471</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Wakefield Filtration</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1500.00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19472</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Water Tower Bond Acct</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2800.83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19473</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Waterlink</w:t>
            </w:r>
            <w:proofErr w:type="spellEnd"/>
            <w:r w:rsidRPr="00D478BB">
              <w:rPr>
                <w:color w:val="000000"/>
              </w:rPr>
              <w:t>, Inc.</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539.24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19474</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Wesco Receivables Corp.</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339.19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19475</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West </w:t>
            </w:r>
            <w:proofErr w:type="spellStart"/>
            <w:r w:rsidRPr="00D478BB">
              <w:rPr>
                <w:color w:val="000000"/>
              </w:rPr>
              <w:t>Hodson</w:t>
            </w:r>
            <w:proofErr w:type="spellEnd"/>
            <w:r w:rsidRPr="00D478BB">
              <w:rPr>
                <w:color w:val="000000"/>
              </w:rPr>
              <w:t xml:space="preserve"> Lumber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188.38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19476</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Western Oil, </w:t>
            </w:r>
            <w:proofErr w:type="spellStart"/>
            <w:r w:rsidRPr="00D478BB">
              <w:rPr>
                <w:color w:val="000000"/>
              </w:rPr>
              <w:t>Inc</w:t>
            </w:r>
            <w:proofErr w:type="spellEnd"/>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Fuel</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81.98 </w:t>
            </w:r>
          </w:p>
        </w:tc>
      </w:tr>
      <w:tr w:rsidR="00D478BB" w:rsidRPr="00D478BB" w:rsidTr="00D478BB">
        <w:trPr>
          <w:trHeight w:val="300"/>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19477</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Zee Medical Services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Su</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40.85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Black Hills Energy</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380.91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Community Bankers Merchant Service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Svc</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891.73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DHHS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230.00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EFTPS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6376.80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EFTPS</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4367.92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Dearborn National Life Insurance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Emp</w:t>
            </w:r>
            <w:proofErr w:type="spellEnd"/>
            <w:r w:rsidRPr="00D478BB">
              <w:rPr>
                <w:color w:val="000000"/>
              </w:rPr>
              <w:t xml:space="preserve"> Ins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69.90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Mass Mutual</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Pension</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2491.28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Mass Mutual</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Pension</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2171.57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Nebraska Child Support </w:t>
            </w:r>
            <w:proofErr w:type="spellStart"/>
            <w:r w:rsidRPr="00D478BB">
              <w:rPr>
                <w:color w:val="000000"/>
              </w:rPr>
              <w:t>Pmt</w:t>
            </w:r>
            <w:proofErr w:type="spellEnd"/>
            <w:r w:rsidRPr="00D478BB">
              <w:rPr>
                <w:color w:val="000000"/>
              </w:rPr>
              <w:t xml:space="preserve"> Center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425.00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Nebraska Child Support </w:t>
            </w:r>
            <w:proofErr w:type="spellStart"/>
            <w:r w:rsidRPr="00D478BB">
              <w:rPr>
                <w:color w:val="000000"/>
              </w:rPr>
              <w:t>Pmt</w:t>
            </w:r>
            <w:proofErr w:type="spellEnd"/>
            <w:r w:rsidRPr="00D478BB">
              <w:rPr>
                <w:color w:val="000000"/>
              </w:rPr>
              <w:t xml:space="preserve"> Center</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Pmt</w:t>
            </w:r>
            <w:proofErr w:type="spellEnd"/>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425.00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Nebraska Department of Revenue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Payroll Taxes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1289.57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Nebraska Department of Revenue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State W/H Taxes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9198.12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Nebraska U.C. Fund</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Pr>
                <w:color w:val="000000"/>
              </w:rPr>
              <w:t>Taxes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63.18 </w:t>
            </w:r>
          </w:p>
        </w:tc>
      </w:tr>
      <w:tr w:rsidR="00D478BB" w:rsidRPr="00D478BB" w:rsidTr="00D478BB">
        <w:trPr>
          <w:trHeight w:val="315"/>
        </w:trPr>
        <w:tc>
          <w:tcPr>
            <w:tcW w:w="720" w:type="dxa"/>
            <w:tcBorders>
              <w:top w:val="nil"/>
              <w:left w:val="nil"/>
              <w:bottom w:val="nil"/>
              <w:right w:val="nil"/>
            </w:tcBorders>
            <w:shd w:val="clear" w:color="auto" w:fill="auto"/>
            <w:noWrap/>
            <w:hideMark/>
          </w:tcPr>
          <w:p w:rsidR="00D478BB" w:rsidRPr="00D478BB" w:rsidRDefault="00D478BB" w:rsidP="00D478BB">
            <w:pPr>
              <w:jc w:val="center"/>
              <w:rPr>
                <w:color w:val="000000"/>
              </w:rPr>
            </w:pPr>
          </w:p>
        </w:tc>
        <w:tc>
          <w:tcPr>
            <w:tcW w:w="70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ACH</w:t>
            </w:r>
          </w:p>
        </w:tc>
        <w:tc>
          <w:tcPr>
            <w:tcW w:w="3906"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United Healthcare</w:t>
            </w:r>
          </w:p>
        </w:tc>
        <w:tc>
          <w:tcPr>
            <w:tcW w:w="1957" w:type="dxa"/>
            <w:tcBorders>
              <w:top w:val="nil"/>
              <w:left w:val="nil"/>
              <w:bottom w:val="nil"/>
              <w:right w:val="nil"/>
            </w:tcBorders>
            <w:shd w:val="clear" w:color="auto" w:fill="auto"/>
            <w:noWrap/>
            <w:hideMark/>
          </w:tcPr>
          <w:p w:rsidR="00D478BB" w:rsidRPr="00D478BB" w:rsidRDefault="00D478BB" w:rsidP="00D478BB">
            <w:pPr>
              <w:jc w:val="center"/>
              <w:rPr>
                <w:color w:val="000000"/>
              </w:rPr>
            </w:pPr>
            <w:proofErr w:type="spellStart"/>
            <w:r w:rsidRPr="00D478BB">
              <w:rPr>
                <w:color w:val="000000"/>
              </w:rPr>
              <w:t>Emp</w:t>
            </w:r>
            <w:proofErr w:type="spellEnd"/>
            <w:r w:rsidRPr="00D478BB">
              <w:rPr>
                <w:color w:val="000000"/>
              </w:rPr>
              <w:t xml:space="preserve"> Ins</w:t>
            </w:r>
          </w:p>
        </w:tc>
        <w:tc>
          <w:tcPr>
            <w:tcW w:w="1080" w:type="dxa"/>
            <w:tcBorders>
              <w:top w:val="nil"/>
              <w:left w:val="nil"/>
              <w:bottom w:val="nil"/>
              <w:right w:val="nil"/>
            </w:tcBorders>
            <w:shd w:val="clear" w:color="auto" w:fill="auto"/>
            <w:noWrap/>
            <w:hideMark/>
          </w:tcPr>
          <w:p w:rsidR="00D478BB" w:rsidRPr="00D478BB" w:rsidRDefault="00D478BB" w:rsidP="00D478BB">
            <w:pPr>
              <w:jc w:val="center"/>
              <w:rPr>
                <w:color w:val="000000"/>
              </w:rPr>
            </w:pPr>
            <w:r w:rsidRPr="00D478BB">
              <w:rPr>
                <w:color w:val="000000"/>
              </w:rPr>
              <w:t xml:space="preserve">10925.83 </w:t>
            </w:r>
          </w:p>
        </w:tc>
      </w:tr>
    </w:tbl>
    <w:p w:rsidR="00093D81" w:rsidRDefault="00093D81" w:rsidP="00D478BB">
      <w:pPr>
        <w:tabs>
          <w:tab w:val="center" w:pos="4320"/>
          <w:tab w:val="decimal" w:pos="7200"/>
        </w:tabs>
        <w:jc w:val="center"/>
      </w:pPr>
    </w:p>
    <w:sectPr w:rsidR="00093D81" w:rsidSect="00344333">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2"/>
  </w:num>
  <w:num w:numId="5">
    <w:abstractNumId w:val="15"/>
  </w:num>
  <w:num w:numId="6">
    <w:abstractNumId w:val="3"/>
  </w:num>
  <w:num w:numId="7">
    <w:abstractNumId w:val="4"/>
  </w:num>
  <w:num w:numId="8">
    <w:abstractNumId w:val="0"/>
  </w:num>
  <w:num w:numId="9">
    <w:abstractNumId w:val="7"/>
  </w:num>
  <w:num w:numId="10">
    <w:abstractNumId w:val="11"/>
  </w:num>
  <w:num w:numId="11">
    <w:abstractNumId w:val="8"/>
  </w:num>
  <w:num w:numId="12">
    <w:abstractNumId w:val="10"/>
  </w:num>
  <w:num w:numId="13">
    <w:abstractNumId w:val="13"/>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55DE"/>
    <w:rsid w:val="00045C05"/>
    <w:rsid w:val="00047BDD"/>
    <w:rsid w:val="00054825"/>
    <w:rsid w:val="00055AE4"/>
    <w:rsid w:val="00062E57"/>
    <w:rsid w:val="00063FBF"/>
    <w:rsid w:val="00071FC6"/>
    <w:rsid w:val="00072228"/>
    <w:rsid w:val="00080583"/>
    <w:rsid w:val="00080F09"/>
    <w:rsid w:val="00086BA9"/>
    <w:rsid w:val="00093D81"/>
    <w:rsid w:val="00097AEE"/>
    <w:rsid w:val="000A57D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F5D1D"/>
    <w:rsid w:val="000F6809"/>
    <w:rsid w:val="00103340"/>
    <w:rsid w:val="00111911"/>
    <w:rsid w:val="00114437"/>
    <w:rsid w:val="00114B2A"/>
    <w:rsid w:val="0012107A"/>
    <w:rsid w:val="001335D5"/>
    <w:rsid w:val="00134266"/>
    <w:rsid w:val="00135AC0"/>
    <w:rsid w:val="0014240D"/>
    <w:rsid w:val="001564C6"/>
    <w:rsid w:val="00160DB3"/>
    <w:rsid w:val="00162E98"/>
    <w:rsid w:val="00164352"/>
    <w:rsid w:val="001726B3"/>
    <w:rsid w:val="00174A10"/>
    <w:rsid w:val="00181B82"/>
    <w:rsid w:val="0018358C"/>
    <w:rsid w:val="00185BA0"/>
    <w:rsid w:val="001A04FF"/>
    <w:rsid w:val="001A4C9E"/>
    <w:rsid w:val="001A5DDB"/>
    <w:rsid w:val="001A78D8"/>
    <w:rsid w:val="001B1392"/>
    <w:rsid w:val="001B3575"/>
    <w:rsid w:val="001C14DE"/>
    <w:rsid w:val="001D0EA0"/>
    <w:rsid w:val="001D3FA6"/>
    <w:rsid w:val="001E4370"/>
    <w:rsid w:val="001E4882"/>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9312C"/>
    <w:rsid w:val="00293946"/>
    <w:rsid w:val="002970D5"/>
    <w:rsid w:val="0029751B"/>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21BE0"/>
    <w:rsid w:val="00325846"/>
    <w:rsid w:val="003264D7"/>
    <w:rsid w:val="00326CED"/>
    <w:rsid w:val="0033072B"/>
    <w:rsid w:val="00335FE9"/>
    <w:rsid w:val="00344333"/>
    <w:rsid w:val="00351C69"/>
    <w:rsid w:val="003556B7"/>
    <w:rsid w:val="003566E0"/>
    <w:rsid w:val="00357CBB"/>
    <w:rsid w:val="00362D7E"/>
    <w:rsid w:val="00366878"/>
    <w:rsid w:val="00382BF3"/>
    <w:rsid w:val="003838FA"/>
    <w:rsid w:val="0038611C"/>
    <w:rsid w:val="00387B89"/>
    <w:rsid w:val="00387E4F"/>
    <w:rsid w:val="003A0E29"/>
    <w:rsid w:val="003A304A"/>
    <w:rsid w:val="003A338F"/>
    <w:rsid w:val="003A39BB"/>
    <w:rsid w:val="003C000F"/>
    <w:rsid w:val="003C01CC"/>
    <w:rsid w:val="003C37E7"/>
    <w:rsid w:val="003C6F98"/>
    <w:rsid w:val="003C74BC"/>
    <w:rsid w:val="003D1B12"/>
    <w:rsid w:val="003D592C"/>
    <w:rsid w:val="003E1905"/>
    <w:rsid w:val="003E6346"/>
    <w:rsid w:val="003E71D6"/>
    <w:rsid w:val="003F0AC6"/>
    <w:rsid w:val="003F285F"/>
    <w:rsid w:val="003F5519"/>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2AFF"/>
    <w:rsid w:val="004948BC"/>
    <w:rsid w:val="00497687"/>
    <w:rsid w:val="004A1E66"/>
    <w:rsid w:val="004A32EF"/>
    <w:rsid w:val="004A55DB"/>
    <w:rsid w:val="004B05C6"/>
    <w:rsid w:val="004B2CC2"/>
    <w:rsid w:val="004B3B2F"/>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2C14"/>
    <w:rsid w:val="00523733"/>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9660C"/>
    <w:rsid w:val="005A040A"/>
    <w:rsid w:val="005B24D5"/>
    <w:rsid w:val="005B2659"/>
    <w:rsid w:val="005B280C"/>
    <w:rsid w:val="005B30D2"/>
    <w:rsid w:val="005B5CF0"/>
    <w:rsid w:val="005C0329"/>
    <w:rsid w:val="005C2D83"/>
    <w:rsid w:val="005C3BE0"/>
    <w:rsid w:val="005D03DF"/>
    <w:rsid w:val="005D2BF7"/>
    <w:rsid w:val="005D3634"/>
    <w:rsid w:val="005D61FB"/>
    <w:rsid w:val="005E0941"/>
    <w:rsid w:val="005E4B7B"/>
    <w:rsid w:val="005E62C8"/>
    <w:rsid w:val="005F46BD"/>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C6E74"/>
    <w:rsid w:val="006D2D54"/>
    <w:rsid w:val="006D2F95"/>
    <w:rsid w:val="006E1904"/>
    <w:rsid w:val="006E7AD8"/>
    <w:rsid w:val="006F7E41"/>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802130"/>
    <w:rsid w:val="00803B32"/>
    <w:rsid w:val="00804F1C"/>
    <w:rsid w:val="00805834"/>
    <w:rsid w:val="00806757"/>
    <w:rsid w:val="00810936"/>
    <w:rsid w:val="00826FF4"/>
    <w:rsid w:val="00836F1F"/>
    <w:rsid w:val="00837C7E"/>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0EFE"/>
    <w:rsid w:val="008D2106"/>
    <w:rsid w:val="008D238E"/>
    <w:rsid w:val="008D7DE3"/>
    <w:rsid w:val="008E4173"/>
    <w:rsid w:val="008E4709"/>
    <w:rsid w:val="008E6CC4"/>
    <w:rsid w:val="008F6194"/>
    <w:rsid w:val="00900072"/>
    <w:rsid w:val="009029ED"/>
    <w:rsid w:val="00905C2C"/>
    <w:rsid w:val="00911466"/>
    <w:rsid w:val="00914DD9"/>
    <w:rsid w:val="00915D1C"/>
    <w:rsid w:val="009221FB"/>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101"/>
    <w:rsid w:val="0098254C"/>
    <w:rsid w:val="009903EF"/>
    <w:rsid w:val="00990A72"/>
    <w:rsid w:val="009913AC"/>
    <w:rsid w:val="00993C53"/>
    <w:rsid w:val="009A3D4E"/>
    <w:rsid w:val="009A4D90"/>
    <w:rsid w:val="009A5E95"/>
    <w:rsid w:val="009B05B9"/>
    <w:rsid w:val="009D7430"/>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2ABC"/>
    <w:rsid w:val="00A6327F"/>
    <w:rsid w:val="00A6395D"/>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747A"/>
    <w:rsid w:val="00AE2B85"/>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363F"/>
    <w:rsid w:val="00B55D52"/>
    <w:rsid w:val="00B56AAF"/>
    <w:rsid w:val="00B7279E"/>
    <w:rsid w:val="00B72DFB"/>
    <w:rsid w:val="00B81791"/>
    <w:rsid w:val="00B82849"/>
    <w:rsid w:val="00B83C00"/>
    <w:rsid w:val="00B87F48"/>
    <w:rsid w:val="00BA1E2B"/>
    <w:rsid w:val="00BA6FF7"/>
    <w:rsid w:val="00BB0206"/>
    <w:rsid w:val="00BB5AF2"/>
    <w:rsid w:val="00BB687A"/>
    <w:rsid w:val="00BB7845"/>
    <w:rsid w:val="00BB7902"/>
    <w:rsid w:val="00BC34E1"/>
    <w:rsid w:val="00BD1523"/>
    <w:rsid w:val="00BE1AB7"/>
    <w:rsid w:val="00BE60F4"/>
    <w:rsid w:val="00BF5589"/>
    <w:rsid w:val="00BF65CC"/>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72FF"/>
    <w:rsid w:val="00CA2810"/>
    <w:rsid w:val="00CA3717"/>
    <w:rsid w:val="00CA5AAE"/>
    <w:rsid w:val="00CB000F"/>
    <w:rsid w:val="00CB1ED6"/>
    <w:rsid w:val="00CC20EE"/>
    <w:rsid w:val="00CC46EA"/>
    <w:rsid w:val="00CC4E2F"/>
    <w:rsid w:val="00CC6155"/>
    <w:rsid w:val="00CD603C"/>
    <w:rsid w:val="00CE221F"/>
    <w:rsid w:val="00CE7435"/>
    <w:rsid w:val="00CF5F1D"/>
    <w:rsid w:val="00CF75D9"/>
    <w:rsid w:val="00D02403"/>
    <w:rsid w:val="00D02BA7"/>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73E8B"/>
    <w:rsid w:val="00D856C3"/>
    <w:rsid w:val="00D90A68"/>
    <w:rsid w:val="00D92C27"/>
    <w:rsid w:val="00DA42EC"/>
    <w:rsid w:val="00DA4F3A"/>
    <w:rsid w:val="00DA70C4"/>
    <w:rsid w:val="00DB43D3"/>
    <w:rsid w:val="00DB63F5"/>
    <w:rsid w:val="00DB797B"/>
    <w:rsid w:val="00DC04A5"/>
    <w:rsid w:val="00DC19BB"/>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430"/>
    <w:rsid w:val="00EF6C20"/>
    <w:rsid w:val="00F0147E"/>
    <w:rsid w:val="00F01B25"/>
    <w:rsid w:val="00F05ED2"/>
    <w:rsid w:val="00F07917"/>
    <w:rsid w:val="00F12348"/>
    <w:rsid w:val="00F17BA9"/>
    <w:rsid w:val="00F214E0"/>
    <w:rsid w:val="00F228FC"/>
    <w:rsid w:val="00F25B82"/>
    <w:rsid w:val="00F31F88"/>
    <w:rsid w:val="00F35A00"/>
    <w:rsid w:val="00F35B15"/>
    <w:rsid w:val="00F40698"/>
    <w:rsid w:val="00F407CA"/>
    <w:rsid w:val="00F47BA8"/>
    <w:rsid w:val="00F5262E"/>
    <w:rsid w:val="00F533A0"/>
    <w:rsid w:val="00F56E44"/>
    <w:rsid w:val="00F57336"/>
    <w:rsid w:val="00F668AA"/>
    <w:rsid w:val="00F71355"/>
    <w:rsid w:val="00F741F1"/>
    <w:rsid w:val="00F7744B"/>
    <w:rsid w:val="00FA4336"/>
    <w:rsid w:val="00FA4C74"/>
    <w:rsid w:val="00FA711A"/>
    <w:rsid w:val="00FB2751"/>
    <w:rsid w:val="00FB2D69"/>
    <w:rsid w:val="00FC403E"/>
    <w:rsid w:val="00FD6CA5"/>
    <w:rsid w:val="00FD7F7E"/>
    <w:rsid w:val="00FE793F"/>
    <w:rsid w:val="00FF05F7"/>
    <w:rsid w:val="00FF0FC9"/>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535F-765C-433F-B102-CED11733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21</cp:revision>
  <cp:lastPrinted>2017-11-22T22:32:00Z</cp:lastPrinted>
  <dcterms:created xsi:type="dcterms:W3CDTF">2017-10-16T17:06:00Z</dcterms:created>
  <dcterms:modified xsi:type="dcterms:W3CDTF">2017-11-22T22:32:00Z</dcterms:modified>
</cp:coreProperties>
</file>