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5E1B13" w:rsidP="00301E00">
      <w:pPr>
        <w:pBdr>
          <w:bottom w:val="dotted" w:sz="24" w:space="1" w:color="auto"/>
        </w:pBdr>
        <w:ind w:left="2880" w:firstLine="720"/>
        <w:rPr>
          <w:b/>
          <w:bCs/>
          <w:color w:val="FF0000"/>
        </w:rPr>
      </w:pPr>
      <w:r>
        <w:rPr>
          <w:b/>
          <w:bCs/>
          <w:color w:val="FF0000"/>
        </w:rPr>
        <w:t>TUESDAY MAY 8</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5E1B13">
        <w:t>City on the 8th day of May</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5E1B13">
        <w:t>t, Naprstek</w:t>
      </w:r>
      <w:r w:rsidR="00CF747B">
        <w:t xml:space="preserve"> </w:t>
      </w:r>
      <w:r w:rsidR="00FF4530">
        <w:t>and Schlote.</w:t>
      </w:r>
      <w:r w:rsidR="00CF747B">
        <w:t xml:space="preserve"> Absent:</w:t>
      </w:r>
      <w:r w:rsidR="005E1B13">
        <w:t xml:space="preserve"> Novicki</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9B250A" w:rsidRDefault="009B250A" w:rsidP="00743CDE"/>
    <w:p w:rsidR="009B250A" w:rsidRDefault="002906DB" w:rsidP="00743CDE">
      <w:r>
        <w:t>Naprstek moved to approve the minutes from the April 10</w:t>
      </w:r>
      <w:r w:rsidRPr="002906DB">
        <w:rPr>
          <w:vertAlign w:val="superscript"/>
        </w:rPr>
        <w:t>th</w:t>
      </w:r>
      <w:r>
        <w:t xml:space="preserve"> regular meeting. Cornett seconded the motion. Motion carried 3-0.</w:t>
      </w:r>
    </w:p>
    <w:p w:rsidR="002906DB" w:rsidRDefault="002906DB" w:rsidP="00743CDE"/>
    <w:p w:rsidR="002906DB" w:rsidRDefault="002906DB" w:rsidP="00743CDE">
      <w:r>
        <w:t>Naprstek moved to approve the claims and payroll against the city. Cornett seconded the motion. Motion carried 3-0.</w:t>
      </w:r>
    </w:p>
    <w:p w:rsidR="002906DB" w:rsidRDefault="002906DB" w:rsidP="00743CDE"/>
    <w:p w:rsidR="002906DB" w:rsidRDefault="002906DB" w:rsidP="00743CDE">
      <w:r>
        <w:t xml:space="preserve">Police Chief Yosten gave his report and stated that the Health Board had met to discuss nuisance properties in town. Council members questioned the status of unlicensed vehicles in town and also an update on the speed signs was given. </w:t>
      </w:r>
    </w:p>
    <w:p w:rsidR="002906DB" w:rsidRDefault="002906DB" w:rsidP="00743CDE"/>
    <w:p w:rsidR="002906DB" w:rsidRDefault="002906DB" w:rsidP="00743CDE">
      <w:r>
        <w:t>Manor report was given by Juleen Johnson. The generator is scheduled to be connected and in operation on May 23</w:t>
      </w:r>
      <w:r w:rsidRPr="002906DB">
        <w:rPr>
          <w:vertAlign w:val="superscript"/>
        </w:rPr>
        <w:t>rd</w:t>
      </w:r>
      <w:r>
        <w:t>. National Nursing Home Week will be celebrated the week of May 13</w:t>
      </w:r>
      <w:r>
        <w:rPr>
          <w:vertAlign w:val="superscript"/>
        </w:rPr>
        <w:t xml:space="preserve">th </w:t>
      </w:r>
      <w:r>
        <w:t>– 18</w:t>
      </w:r>
      <w:r w:rsidRPr="002906DB">
        <w:rPr>
          <w:vertAlign w:val="superscript"/>
        </w:rPr>
        <w:t>th</w:t>
      </w:r>
      <w:r>
        <w:t xml:space="preserve"> along with recognition of the facilities 50</w:t>
      </w:r>
      <w:r w:rsidRPr="002906DB">
        <w:rPr>
          <w:vertAlign w:val="superscript"/>
        </w:rPr>
        <w:t>th</w:t>
      </w:r>
      <w:r>
        <w:t xml:space="preserve"> Anniversary. </w:t>
      </w:r>
    </w:p>
    <w:p w:rsidR="002906DB" w:rsidRDefault="002906DB" w:rsidP="00743CDE"/>
    <w:p w:rsidR="002906DB" w:rsidRDefault="002906DB" w:rsidP="00743CDE">
      <w:r>
        <w:t xml:space="preserve">Susan Norris gave the Economic Development report and updated the progress of the opening of </w:t>
      </w:r>
      <w:r w:rsidR="008E4916">
        <w:t xml:space="preserve">a new hardware store in the former True Value building. Updates on grants for park upgrades, workforce housing and 2 USDA funding opportunities were given by Norris. </w:t>
      </w:r>
    </w:p>
    <w:p w:rsidR="008E4916" w:rsidRDefault="008E4916" w:rsidP="00743CDE"/>
    <w:p w:rsidR="008E4916" w:rsidRDefault="008E4916" w:rsidP="00743CDE">
      <w:r>
        <w:t xml:space="preserve">Terry Galloway of Almquist, Maltzahn, Galloway and Luth presented on 2017 financial audit of the City of Plainview. </w:t>
      </w:r>
      <w:r w:rsidR="0022582B">
        <w:t xml:space="preserve">Overall the city received an unmodified audit opinion which is the highest an organization can receive. Galloway </w:t>
      </w:r>
      <w:r w:rsidR="004230A4">
        <w:t xml:space="preserve">reported on the amounts due to other funds and different ways the city can alleviate this debt. City Administrator Holton and City Clerk Retzlaff will work with the auditors on concerns with the overall financials and the budget of the city. </w:t>
      </w:r>
    </w:p>
    <w:p w:rsidR="004230A4" w:rsidRDefault="004230A4" w:rsidP="00743CDE"/>
    <w:p w:rsidR="004230A4" w:rsidRDefault="004230A4" w:rsidP="00743CDE">
      <w:r>
        <w:t>Commer</w:t>
      </w:r>
      <w:r w:rsidR="00AE0117">
        <w:t xml:space="preserve">cial trash rates were discussed. The administrative office would like to move all businesses to a standardized rate based on the container they utilize rather than the volume of trash disposed of.  Concerns on contacting businesses in regards to any potential rate increases were addressed and the rates would need to be established in order to provide each business with accurate information on their future rates. </w:t>
      </w:r>
    </w:p>
    <w:p w:rsidR="00AE0117" w:rsidRDefault="00AE0117" w:rsidP="00743CDE"/>
    <w:p w:rsidR="00F235A0" w:rsidRDefault="00F235A0" w:rsidP="00F235A0">
      <w:r>
        <w:lastRenderedPageBreak/>
        <w:t>Council member Schlote introduced the following resolution and moved for its adoption:</w:t>
      </w:r>
    </w:p>
    <w:p w:rsidR="00F235A0" w:rsidRDefault="00F235A0" w:rsidP="00743CDE"/>
    <w:p w:rsidR="00F235A0" w:rsidRDefault="00F235A0" w:rsidP="00F235A0">
      <w:pPr>
        <w:jc w:val="center"/>
        <w:rPr>
          <w:b/>
        </w:rPr>
      </w:pPr>
      <w:r>
        <w:rPr>
          <w:b/>
        </w:rPr>
        <w:t>RESOLUTION #570</w:t>
      </w:r>
    </w:p>
    <w:p w:rsidR="00F235A0" w:rsidRDefault="00F235A0" w:rsidP="00F235A0">
      <w:pPr>
        <w:rPr>
          <w:b/>
        </w:rPr>
      </w:pPr>
    </w:p>
    <w:p w:rsidR="00F235A0" w:rsidRDefault="00F235A0" w:rsidP="00F235A0">
      <w:r>
        <w:rPr>
          <w:b/>
        </w:rPr>
        <w:t xml:space="preserve">WHEREAS </w:t>
      </w:r>
      <w:r>
        <w:t>the Mayor and City Council of the City of Plainview have established uniform rates and procedures for the pickup of Residential Solid Waste, and;</w:t>
      </w:r>
    </w:p>
    <w:p w:rsidR="00F235A0" w:rsidRDefault="00F235A0" w:rsidP="00F235A0"/>
    <w:p w:rsidR="00F235A0" w:rsidRDefault="00F235A0" w:rsidP="00F235A0">
      <w:r>
        <w:rPr>
          <w:b/>
        </w:rPr>
        <w:t xml:space="preserve">WHEREAS </w:t>
      </w:r>
      <w:r>
        <w:t>a uniform set of rates and procedures for Commercial Solid Waste is now determined to be necessary and desirable;</w:t>
      </w:r>
    </w:p>
    <w:p w:rsidR="00F235A0" w:rsidRDefault="00F235A0" w:rsidP="00F235A0"/>
    <w:p w:rsidR="00F235A0" w:rsidRDefault="00F235A0" w:rsidP="00F235A0">
      <w:pPr>
        <w:rPr>
          <w:b/>
        </w:rPr>
      </w:pPr>
      <w:r>
        <w:rPr>
          <w:b/>
        </w:rPr>
        <w:t>NOW THEREFORE LET IT BE RESOLVED BY THE MAYOR AND CITY COUNCIL OF THE CITY OF PLAINVIEW, NEBRASKA, THAT:</w:t>
      </w:r>
    </w:p>
    <w:p w:rsidR="00F235A0" w:rsidRDefault="00F235A0" w:rsidP="00F235A0"/>
    <w:p w:rsidR="00F235A0" w:rsidRDefault="00F235A0" w:rsidP="00F235A0">
      <w:pPr>
        <w:pStyle w:val="ListParagraph"/>
        <w:numPr>
          <w:ilvl w:val="0"/>
          <w:numId w:val="26"/>
        </w:numPr>
      </w:pPr>
      <w:r>
        <w:t>For small commercial waste services, the “totes” purchases and now used for Residential service shall be used; at the consumer’s choice up to two totes may be used; volume in excess of two totes per week shall require use of one or more commercial dumpsters;</w:t>
      </w:r>
    </w:p>
    <w:p w:rsidR="00F235A0" w:rsidRDefault="00F235A0" w:rsidP="00F235A0">
      <w:pPr>
        <w:pStyle w:val="ListParagraph"/>
        <w:numPr>
          <w:ilvl w:val="0"/>
          <w:numId w:val="26"/>
        </w:numPr>
      </w:pPr>
      <w:r>
        <w:t xml:space="preserve">Commercial Rate for one tote picked up once each week shall be $16.50 per month; sites requiring two toes per week may either dump a single tote twice a week, or may use two totes for once a week pickup; for either </w:t>
      </w:r>
      <w:r w:rsidR="009F6512">
        <w:t>two toes per week plan the commercial rate shall be $21.50 per month;</w:t>
      </w:r>
    </w:p>
    <w:p w:rsidR="009F6512" w:rsidRDefault="009F6512" w:rsidP="00F235A0">
      <w:pPr>
        <w:pStyle w:val="ListParagraph"/>
        <w:numPr>
          <w:ilvl w:val="0"/>
          <w:numId w:val="26"/>
        </w:numPr>
      </w:pPr>
      <w:r>
        <w:t xml:space="preserve">If the consumer requires two totes to be dumped twice each week, that rate shall be $26.50 per month. </w:t>
      </w:r>
    </w:p>
    <w:p w:rsidR="009F6512" w:rsidRDefault="009F6512" w:rsidP="00F235A0">
      <w:pPr>
        <w:pStyle w:val="ListParagraph"/>
        <w:numPr>
          <w:ilvl w:val="0"/>
          <w:numId w:val="26"/>
        </w:numPr>
      </w:pPr>
      <w:r>
        <w:t>Rate for 2-yard commercial dumpster picked up once per week shall be $27.00 per month; A 2 –yard dumpster picked up twice a week shall be $42.00 per month;</w:t>
      </w:r>
    </w:p>
    <w:p w:rsidR="009F6512" w:rsidRDefault="007770BA" w:rsidP="00F235A0">
      <w:pPr>
        <w:pStyle w:val="ListParagraph"/>
        <w:numPr>
          <w:ilvl w:val="0"/>
          <w:numId w:val="26"/>
        </w:numPr>
      </w:pPr>
      <w:r>
        <w:t>Rate for 4-yard commercial dumpster picked up once per week shall be $45.00 per month. A 4-yard dumpster picked up twice per week shall be $60.00 per month. ;</w:t>
      </w:r>
    </w:p>
    <w:p w:rsidR="007770BA" w:rsidRDefault="007770BA" w:rsidP="00F235A0">
      <w:pPr>
        <w:pStyle w:val="ListParagraph"/>
        <w:numPr>
          <w:ilvl w:val="0"/>
          <w:numId w:val="26"/>
        </w:numPr>
      </w:pPr>
      <w:r>
        <w:t>Any commercial dumpster in excess of 4 yards shall be picked up at a rate of $11.00 per yard billed monthly, based on one pickup each week; two pickups per week shall add an additional $15.00 monthly.</w:t>
      </w:r>
    </w:p>
    <w:p w:rsidR="007770BA" w:rsidRDefault="007770BA" w:rsidP="00F235A0">
      <w:pPr>
        <w:pStyle w:val="ListParagraph"/>
        <w:numPr>
          <w:ilvl w:val="0"/>
          <w:numId w:val="26"/>
        </w:numPr>
      </w:pPr>
      <w:r>
        <w:t xml:space="preserve">In all cases the maximum service level is two pickups per week; volume in excess of that service level for any container(s) shall require a larger or additional containers, which will be billed as set out above. </w:t>
      </w:r>
    </w:p>
    <w:p w:rsidR="007770BA" w:rsidRDefault="007770BA" w:rsidP="00F235A0">
      <w:pPr>
        <w:pStyle w:val="ListParagraph"/>
        <w:numPr>
          <w:ilvl w:val="0"/>
          <w:numId w:val="26"/>
        </w:numPr>
      </w:pPr>
      <w:r>
        <w:t xml:space="preserve">Totes will be furnished by the City at no additional charge; Dumpsters must be purchased, owned, and maintained by the consumer. </w:t>
      </w:r>
    </w:p>
    <w:p w:rsidR="007770BA" w:rsidRDefault="007770BA" w:rsidP="007770BA"/>
    <w:p w:rsidR="007770BA" w:rsidRDefault="007770BA" w:rsidP="007770BA">
      <w:r>
        <w:t>Council member Naprstek seconded the foregoing motion and on roll call on the passage and adoption of said resolution, the following voted Aye; Schlote, Naprstek, Nay: Cornett. Whereupon the Mayor declared said motion carried and Resolution #570 is passed and adopted</w:t>
      </w:r>
    </w:p>
    <w:p w:rsidR="007770BA" w:rsidRDefault="007770BA" w:rsidP="007770BA"/>
    <w:p w:rsidR="007770BA" w:rsidRDefault="007770BA" w:rsidP="007770BA">
      <w:r>
        <w:t xml:space="preserve">Two resolutions for USDA grant funding were discussed. </w:t>
      </w:r>
    </w:p>
    <w:p w:rsidR="003840E8" w:rsidRDefault="003840E8" w:rsidP="007770BA"/>
    <w:p w:rsidR="003840E8" w:rsidRDefault="003840E8" w:rsidP="003840E8">
      <w:r>
        <w:t>Council member Naprstek introduced the following resolution and moved for its adoption:</w:t>
      </w:r>
    </w:p>
    <w:p w:rsidR="003840E8" w:rsidRDefault="003840E8" w:rsidP="003840E8"/>
    <w:p w:rsidR="003840E8" w:rsidRPr="003840E8" w:rsidRDefault="003840E8" w:rsidP="003840E8">
      <w:pPr>
        <w:jc w:val="center"/>
        <w:rPr>
          <w:b/>
        </w:rPr>
      </w:pPr>
      <w:r>
        <w:rPr>
          <w:b/>
        </w:rPr>
        <w:t>RESOLUTION #573</w:t>
      </w:r>
    </w:p>
    <w:p w:rsidR="003840E8" w:rsidRDefault="003840E8" w:rsidP="007770BA"/>
    <w:p w:rsidR="007770BA" w:rsidRDefault="007770BA" w:rsidP="007770BA"/>
    <w:p w:rsidR="003840E8" w:rsidRDefault="003840E8" w:rsidP="003840E8">
      <w:pPr>
        <w:spacing w:line="480" w:lineRule="auto"/>
        <w:jc w:val="center"/>
        <w:rPr>
          <w:b/>
          <w:u w:val="single"/>
        </w:rPr>
      </w:pPr>
      <w:r>
        <w:rPr>
          <w:b/>
          <w:u w:val="single"/>
        </w:rPr>
        <w:t xml:space="preserve">RESOLUTION OF THE </w:t>
      </w:r>
    </w:p>
    <w:p w:rsidR="003840E8" w:rsidRDefault="003840E8" w:rsidP="003840E8">
      <w:pPr>
        <w:spacing w:line="480" w:lineRule="auto"/>
        <w:jc w:val="center"/>
        <w:rPr>
          <w:b/>
          <w:u w:val="single"/>
        </w:rPr>
      </w:pPr>
      <w:r>
        <w:rPr>
          <w:b/>
          <w:u w:val="single"/>
        </w:rPr>
        <w:t xml:space="preserve">PLAINVIEW CITY COUNCIL </w:t>
      </w:r>
    </w:p>
    <w:p w:rsidR="003840E8" w:rsidRDefault="003840E8" w:rsidP="003840E8">
      <w:pPr>
        <w:spacing w:line="480" w:lineRule="auto"/>
        <w:jc w:val="center"/>
        <w:rPr>
          <w:b/>
          <w:u w:val="single"/>
        </w:rPr>
      </w:pPr>
      <w:r>
        <w:rPr>
          <w:b/>
          <w:u w:val="single"/>
        </w:rPr>
        <w:t>OF PLAINVIEW, NEBRASKA FOR A $_100,000_RURAL BUSINESS DEVELOPMENT GRANT FROM RURAL DEVELOPMENT</w:t>
      </w:r>
    </w:p>
    <w:p w:rsidR="003840E8" w:rsidRDefault="003840E8" w:rsidP="003840E8">
      <w:pPr>
        <w:spacing w:line="480" w:lineRule="auto"/>
      </w:pPr>
    </w:p>
    <w:p w:rsidR="003840E8" w:rsidRDefault="003840E8" w:rsidP="003840E8">
      <w:pPr>
        <w:spacing w:line="480" w:lineRule="auto"/>
      </w:pPr>
    </w:p>
    <w:p w:rsidR="003840E8" w:rsidRDefault="003840E8" w:rsidP="003840E8">
      <w:pPr>
        <w:spacing w:line="480" w:lineRule="auto"/>
      </w:pPr>
      <w:r w:rsidRPr="00F67836">
        <w:rPr>
          <w:b/>
        </w:rPr>
        <w:t>WHEREAS</w:t>
      </w:r>
      <w:r>
        <w:t xml:space="preserve">, the CITY OF PLAINVIEW (hereinafter called Grantee) intends to apply for a Rural Business Development Grant in the amount of $ 100,000  from the United States of America, acting through Rural Development (“the agency”), United States Department of Agriculture, acting under the provisions of the Rural Business Development Grant Program (7 C.F.R. Part 4280, Subpart E) for the purpose of </w:t>
      </w:r>
    </w:p>
    <w:p w:rsidR="003840E8" w:rsidRPr="00EA7C26" w:rsidRDefault="003840E8" w:rsidP="003840E8">
      <w:pPr>
        <w:spacing w:line="480" w:lineRule="auto"/>
        <w:rPr>
          <w:b/>
        </w:rPr>
      </w:pPr>
      <w:r w:rsidRPr="00EA7C26">
        <w:rPr>
          <w:b/>
        </w:rPr>
        <w:t>RURAL ECONOMIC DEVELOPMENT IN PLAINVIEW, NEBRASKA.  CURRENTLY THERE IS NO LARGER POOL OF MONEY IN WHICH TO ASSIST BUSINESS ENTREPRENEURS AND STARTUPS</w:t>
      </w:r>
    </w:p>
    <w:p w:rsidR="003840E8" w:rsidRDefault="003840E8" w:rsidP="003840E8">
      <w:pPr>
        <w:spacing w:line="480" w:lineRule="auto"/>
      </w:pPr>
      <w:r w:rsidRPr="00F67836">
        <w:rPr>
          <w:b/>
        </w:rPr>
        <w:t>WHEREAS</w:t>
      </w:r>
      <w:r>
        <w:t>, as a condition to and in consideration of receiving financial assistance in the form of the Rural Business Development Grant from the agency, this Resolution is being adopted.</w:t>
      </w:r>
    </w:p>
    <w:p w:rsidR="003840E8" w:rsidRDefault="003840E8" w:rsidP="003840E8">
      <w:pPr>
        <w:spacing w:line="480" w:lineRule="auto"/>
      </w:pPr>
    </w:p>
    <w:p w:rsidR="003840E8" w:rsidRDefault="003840E8" w:rsidP="003840E8">
      <w:pPr>
        <w:spacing w:line="480" w:lineRule="auto"/>
      </w:pPr>
      <w:r w:rsidRPr="00F67836">
        <w:rPr>
          <w:b/>
        </w:rPr>
        <w:t>THEREFORE</w:t>
      </w:r>
      <w:r>
        <w:t>, in consideration of the premises, Grantee agrees as follows:</w:t>
      </w:r>
    </w:p>
    <w:p w:rsidR="003840E8" w:rsidRDefault="003840E8" w:rsidP="003840E8">
      <w:pPr>
        <w:numPr>
          <w:ilvl w:val="0"/>
          <w:numId w:val="28"/>
        </w:numPr>
        <w:spacing w:line="480" w:lineRule="auto"/>
      </w:pPr>
      <w:r>
        <w:t>The Grantee hereby applies for, approves and accepts a Rural Business Development Grant in an amount not to exceed $100,000 in accordance with the terms specified in the Application for Federal Assistance (Form SF 424) and the Letter of Conditions dated _____________</w:t>
      </w:r>
      <w:r w:rsidR="00937A85">
        <w:t>N/A</w:t>
      </w:r>
      <w:bookmarkStart w:id="0" w:name="_GoBack"/>
      <w:bookmarkEnd w:id="0"/>
      <w:r>
        <w:t>________________________, and the General Requirements for Administration of Rural Business Development Grants (RD Instruction 4280, Subpart E) copies of which have been provided to us.</w:t>
      </w:r>
    </w:p>
    <w:p w:rsidR="003840E8" w:rsidRDefault="003840E8" w:rsidP="003840E8">
      <w:pPr>
        <w:numPr>
          <w:ilvl w:val="0"/>
          <w:numId w:val="28"/>
        </w:numPr>
        <w:spacing w:line="480" w:lineRule="auto"/>
      </w:pPr>
      <w:r>
        <w:t>The (Mayor) and (City Clerk) are hereby authorized and directed to apply for, approve, accept and take all actions necessary to obtain and complete the requirements of the Rural Business Development Grant under the terms offered by the agency.</w:t>
      </w:r>
    </w:p>
    <w:p w:rsidR="003840E8" w:rsidRDefault="003840E8" w:rsidP="003840E8">
      <w:pPr>
        <w:spacing w:line="480" w:lineRule="auto"/>
      </w:pPr>
    </w:p>
    <w:p w:rsidR="003840E8" w:rsidRDefault="003840E8" w:rsidP="003840E8">
      <w:r>
        <w:t>Council member Schlote seconded the foregoing motion and on roll call on the passage and adoption of said resolution, the following voted Aye; Schlote, Naprstek, Cornett Nay: Whereupon the Mayor declared said motion carried and Resolution #573 is passed and adopted</w:t>
      </w:r>
    </w:p>
    <w:p w:rsidR="003840E8" w:rsidRDefault="003840E8" w:rsidP="003840E8">
      <w:pPr>
        <w:spacing w:line="480" w:lineRule="auto"/>
      </w:pPr>
    </w:p>
    <w:p w:rsidR="003840E8" w:rsidRDefault="003840E8" w:rsidP="007770BA"/>
    <w:p w:rsidR="003840E8" w:rsidRDefault="003840E8" w:rsidP="007770BA"/>
    <w:p w:rsidR="00767D87" w:rsidRDefault="00767D87" w:rsidP="007770BA"/>
    <w:p w:rsidR="00767D87" w:rsidRDefault="00767D87" w:rsidP="007770BA">
      <w:r>
        <w:t xml:space="preserve">Council members agreed to table Resolution #571 for USDA IRP funding until the next meeting. </w:t>
      </w:r>
    </w:p>
    <w:p w:rsidR="00F811B7" w:rsidRDefault="00F811B7" w:rsidP="007770BA"/>
    <w:p w:rsidR="00F811B7" w:rsidRDefault="00F811B7" w:rsidP="00F811B7">
      <w:r>
        <w:t>Council member Schlote introduced the following resolution and moved for its adoption:</w:t>
      </w:r>
    </w:p>
    <w:p w:rsidR="003840E8" w:rsidRDefault="003840E8" w:rsidP="00F811B7"/>
    <w:p w:rsidR="003840E8" w:rsidRPr="003840E8" w:rsidRDefault="003840E8" w:rsidP="003840E8">
      <w:pPr>
        <w:jc w:val="center"/>
        <w:rPr>
          <w:b/>
        </w:rPr>
      </w:pPr>
      <w:r w:rsidRPr="003840E8">
        <w:rPr>
          <w:b/>
        </w:rPr>
        <w:t>RESOLUTION #572</w:t>
      </w:r>
    </w:p>
    <w:p w:rsidR="00F811B7" w:rsidRDefault="00F811B7" w:rsidP="00F811B7"/>
    <w:p w:rsidR="00F811B7" w:rsidRDefault="00F811B7" w:rsidP="00F811B7">
      <w:r>
        <w:rPr>
          <w:b/>
        </w:rPr>
        <w:t xml:space="preserve">WHEREAS, </w:t>
      </w:r>
      <w:r>
        <w:t>the City of Plainview, Nebraska owns and is in possession of certain property that is not needed for City purposes, to-wit:</w:t>
      </w:r>
    </w:p>
    <w:p w:rsidR="00F811B7" w:rsidRDefault="00F811B7" w:rsidP="00F811B7"/>
    <w:p w:rsidR="00F811B7" w:rsidRPr="00F67836" w:rsidRDefault="00F811B7" w:rsidP="00F811B7">
      <w:pPr>
        <w:rPr>
          <w:u w:val="single"/>
        </w:rPr>
      </w:pPr>
      <w:r w:rsidRPr="00F67836">
        <w:rPr>
          <w:u w:val="single"/>
        </w:rPr>
        <w:t>Vehicle</w:t>
      </w:r>
      <w:r>
        <w:tab/>
      </w:r>
      <w:r>
        <w:tab/>
      </w:r>
      <w:r>
        <w:tab/>
      </w:r>
      <w:r>
        <w:tab/>
      </w:r>
      <w:r>
        <w:tab/>
      </w:r>
      <w:r>
        <w:tab/>
      </w:r>
      <w:r w:rsidRPr="00F67836">
        <w:rPr>
          <w:u w:val="single"/>
        </w:rPr>
        <w:t>VIN</w:t>
      </w:r>
    </w:p>
    <w:p w:rsidR="00F811B7" w:rsidRDefault="00F811B7" w:rsidP="00F811B7">
      <w:r>
        <w:t>1977 Chevy Brown Truck</w:t>
      </w:r>
      <w:r>
        <w:tab/>
      </w:r>
      <w:r>
        <w:tab/>
      </w:r>
      <w:r>
        <w:tab/>
      </w:r>
      <w:r>
        <w:tab/>
        <w:t>CCE617V126943</w:t>
      </w:r>
    </w:p>
    <w:p w:rsidR="00F811B7" w:rsidRDefault="00F811B7" w:rsidP="00F811B7">
      <w:r>
        <w:t>1995 Chevrolet ¾ Ton Pickup</w:t>
      </w:r>
      <w:r>
        <w:tab/>
      </w:r>
      <w:r>
        <w:tab/>
      </w:r>
      <w:r>
        <w:tab/>
        <w:t>1GCFK24H9SZ111581</w:t>
      </w:r>
    </w:p>
    <w:p w:rsidR="00F811B7" w:rsidRDefault="00F811B7" w:rsidP="00F811B7">
      <w:r>
        <w:t>1998 Mack Truck</w:t>
      </w:r>
      <w:r>
        <w:tab/>
      </w:r>
      <w:r>
        <w:tab/>
      </w:r>
      <w:r>
        <w:tab/>
      </w:r>
      <w:r>
        <w:tab/>
      </w:r>
      <w:r>
        <w:tab/>
        <w:t>1M1AA12Y0WW092968</w:t>
      </w:r>
    </w:p>
    <w:p w:rsidR="00F811B7" w:rsidRDefault="00F811B7" w:rsidP="00F811B7">
      <w:r>
        <w:t>2007 Ford Crown Victoria</w:t>
      </w:r>
      <w:r>
        <w:tab/>
      </w:r>
      <w:r>
        <w:tab/>
      </w:r>
      <w:r>
        <w:tab/>
      </w:r>
      <w:r>
        <w:tab/>
        <w:t>2FAFP71W37X108857</w:t>
      </w:r>
    </w:p>
    <w:p w:rsidR="00F811B7" w:rsidRDefault="00F811B7" w:rsidP="00F811B7">
      <w:r>
        <w:t>1988 Yamaha ATV</w:t>
      </w:r>
      <w:r>
        <w:tab/>
      </w:r>
      <w:r>
        <w:tab/>
      </w:r>
      <w:r>
        <w:tab/>
      </w:r>
      <w:r>
        <w:tab/>
      </w:r>
      <w:r>
        <w:tab/>
        <w:t>2HR013987</w:t>
      </w:r>
    </w:p>
    <w:p w:rsidR="00F811B7" w:rsidRDefault="00F811B7" w:rsidP="00F811B7"/>
    <w:p w:rsidR="00F811B7" w:rsidRDefault="00F811B7" w:rsidP="00F811B7"/>
    <w:p w:rsidR="00F811B7" w:rsidRDefault="00F811B7" w:rsidP="00F811B7">
      <w:r>
        <w:rPr>
          <w:b/>
        </w:rPr>
        <w:t xml:space="preserve">WHEREAS, </w:t>
      </w:r>
      <w:r>
        <w:t>the City of Plainview, Nebraska has determined that sale of said property is in the City’s best interest;</w:t>
      </w:r>
    </w:p>
    <w:p w:rsidR="00F811B7" w:rsidRDefault="00F811B7" w:rsidP="00F811B7"/>
    <w:p w:rsidR="00F811B7" w:rsidRDefault="00F811B7" w:rsidP="00F811B7">
      <w:r>
        <w:rPr>
          <w:b/>
        </w:rPr>
        <w:t>NOW THEREFORE BE IT RESOLVED</w:t>
      </w:r>
      <w:r>
        <w:t>, BY THE MAYOR AND COUNCIL OF THE CITY OF PLAINVIEW, NEBRASKA, THAT:</w:t>
      </w:r>
    </w:p>
    <w:p w:rsidR="00F811B7" w:rsidRDefault="00F811B7" w:rsidP="00F811B7"/>
    <w:p w:rsidR="00F811B7" w:rsidRDefault="00F811B7" w:rsidP="00F811B7">
      <w:pPr>
        <w:pStyle w:val="ListParagraph"/>
        <w:numPr>
          <w:ilvl w:val="0"/>
          <w:numId w:val="27"/>
        </w:numPr>
      </w:pPr>
      <w:r>
        <w:t>That sales will be by sealed bid;</w:t>
      </w:r>
    </w:p>
    <w:p w:rsidR="00F811B7" w:rsidRDefault="00F811B7" w:rsidP="00F811B7">
      <w:pPr>
        <w:pStyle w:val="ListParagraph"/>
        <w:numPr>
          <w:ilvl w:val="0"/>
          <w:numId w:val="27"/>
        </w:numPr>
      </w:pPr>
      <w:r>
        <w:t>Sale to be advertised with bids to be submitted to City Office by or before 5:00 PM Monday 6-11-2018; bids to be opened and accepted or rejected at regular June City Council meeting.</w:t>
      </w:r>
    </w:p>
    <w:p w:rsidR="00F811B7" w:rsidRDefault="00F811B7" w:rsidP="00F811B7"/>
    <w:p w:rsidR="00F811B7" w:rsidRDefault="00F811B7" w:rsidP="00F811B7">
      <w:r>
        <w:t>Council member Naprstek seconded the foregoing motion and on roll call on the passage and adoption of said resolution, the following voted Aye; Schlote, Naprstek,</w:t>
      </w:r>
      <w:r w:rsidR="00944094">
        <w:t xml:space="preserve"> Cornett Nay: None</w:t>
      </w:r>
      <w:r>
        <w:t>. Whereupon the Mayor declared said motion carried an</w:t>
      </w:r>
      <w:r w:rsidR="00944094">
        <w:t>d Resolution #572</w:t>
      </w:r>
      <w:r>
        <w:t xml:space="preserve"> is passed and adopted</w:t>
      </w:r>
    </w:p>
    <w:p w:rsidR="00F811B7" w:rsidRDefault="00F811B7" w:rsidP="007770BA"/>
    <w:p w:rsidR="007770BA" w:rsidRDefault="007770BA" w:rsidP="007770BA"/>
    <w:p w:rsidR="00C451A8" w:rsidRDefault="00C451A8" w:rsidP="00C451A8">
      <w:r>
        <w:t>The pool board had met on April 25th and approved the following hires for the upcoming season. Caiti Ziegenbein, manager; Brittany Waldow, assistant manager; Sophie MacGregor, Becca Kment, Alexa Mayer and Nikki Mosel, full time life guards; Kennady Hammer, Andrea Haase, Abby Rafert, and Jade Rickard, part-time life guards. Curtis Stevens was hired as the adult supervisor. Cornett moved to approve the pool employees. Schlote seconded the motion. Motion carried 3-0.</w:t>
      </w:r>
    </w:p>
    <w:p w:rsidR="00C451A8" w:rsidRDefault="00C451A8" w:rsidP="00C451A8"/>
    <w:p w:rsidR="00C451A8" w:rsidRDefault="00C451A8" w:rsidP="00C451A8">
      <w:r>
        <w:t>Wages for the pool employees were set as follows by the pool board. Manager, $11 per hour; assistant manager, $10 per hour; guards with no experience, $9 per hour and guards with experience, $9.25 per hour. The adult supervisor was recommended to be paid at $11.00 per hour. Cornett moved to approve the wages as set by the pool board. Schlote seconded the motion. Motion carried 3-0.</w:t>
      </w:r>
    </w:p>
    <w:p w:rsidR="00C451A8" w:rsidRDefault="00C451A8" w:rsidP="00C451A8"/>
    <w:p w:rsidR="00C451A8" w:rsidRDefault="00C451A8" w:rsidP="00C451A8">
      <w:r>
        <w:t>City Administrator Holton recommended the hiring of Kenn</w:t>
      </w:r>
      <w:r w:rsidR="008A3F74">
        <w:t xml:space="preserve">y Hart and Nic Jensen as summer </w:t>
      </w:r>
      <w:r>
        <w:t>street and park help. Schlote moved to approve the hires of Hart and Jensen. Naprstek seconded the motion Motion carried 3-0.</w:t>
      </w:r>
    </w:p>
    <w:p w:rsidR="00C451A8" w:rsidRDefault="00C451A8" w:rsidP="00C451A8"/>
    <w:p w:rsidR="00C451A8" w:rsidRDefault="00C451A8" w:rsidP="00C451A8">
      <w:r>
        <w:t>Holton also recommended a wage of $10.00 per hour for Hart and Jensen. Schlote moved to approve the wages as presented. Naprstek seconded the motion. Motion carried 3-0.</w:t>
      </w:r>
    </w:p>
    <w:p w:rsidR="00C451A8" w:rsidRDefault="00C451A8" w:rsidP="00C451A8"/>
    <w:p w:rsidR="00C451A8" w:rsidRDefault="00C451A8" w:rsidP="00C451A8">
      <w:r>
        <w:t>The park board met on April 11</w:t>
      </w:r>
      <w:r w:rsidRPr="00694AEE">
        <w:rPr>
          <w:vertAlign w:val="superscript"/>
        </w:rPr>
        <w:t>th</w:t>
      </w:r>
      <w:r>
        <w:t xml:space="preserve"> and recommended to hire Eli Lanham as a part time employee for the upcoming summer seas</w:t>
      </w:r>
      <w:r w:rsidR="008A3F74">
        <w:t>on</w:t>
      </w:r>
      <w:r>
        <w:t>. Schlote moved to hire Lanham. Cornett seconded the motion. Motion carried 3-0.</w:t>
      </w:r>
    </w:p>
    <w:p w:rsidR="008A3F74" w:rsidRDefault="008A3F74" w:rsidP="00C451A8"/>
    <w:p w:rsidR="008A3F74" w:rsidRDefault="008A3F74" w:rsidP="00C451A8">
      <w:r>
        <w:t>The board recommended a wage of $9.25 per hour for Lanham. Schlote moved to approve the wage. Cornett seconded the motion. Motion carried 3-0.</w:t>
      </w:r>
    </w:p>
    <w:p w:rsidR="008A3F74" w:rsidRDefault="008A3F74" w:rsidP="00C451A8"/>
    <w:p w:rsidR="008A3F74" w:rsidRDefault="008A3F74" w:rsidP="00C451A8">
      <w:r>
        <w:t xml:space="preserve">Holton recommended the hiring for Bill Dane as a City Maintenance worker. Holton along with Curt Hart and City Clerk Retzlaff had interviewed Dane and </w:t>
      </w:r>
      <w:r w:rsidR="00930402">
        <w:t>felt he was the best fit for the position. Schlote moved to approve the hiring of Dane. Cornett seconded the motion. Motion carried 3-0.</w:t>
      </w:r>
    </w:p>
    <w:p w:rsidR="00930402" w:rsidRDefault="00930402" w:rsidP="00C451A8"/>
    <w:p w:rsidR="00930402" w:rsidRDefault="00930402" w:rsidP="00C451A8">
      <w:r>
        <w:t>A recommended starting wage for Dane was set at $32,000 annually with a 90-day probationary period. Schlote moved to approve the wage. Cornett seconded the motion. Motion carried 3-0.</w:t>
      </w:r>
    </w:p>
    <w:p w:rsidR="00930402" w:rsidRDefault="00930402" w:rsidP="00C451A8"/>
    <w:p w:rsidR="00930402" w:rsidRDefault="00930402" w:rsidP="00C451A8">
      <w:r>
        <w:t>Holton also discussed wage increases and position changes for current city workers. Curt Hart was recommended to fill the position of City Superintendent with an annual wage of $42,000. Schlote motioned to approve the wage increase. Naprstek seconded the motion. Motion carried 3-0.</w:t>
      </w:r>
    </w:p>
    <w:p w:rsidR="00930402" w:rsidRDefault="00930402" w:rsidP="00C451A8"/>
    <w:p w:rsidR="00930402" w:rsidRDefault="00930402" w:rsidP="00C451A8">
      <w:r>
        <w:t xml:space="preserve">Troy Johnston was recommended to fill the position of </w:t>
      </w:r>
      <w:r w:rsidR="00461F7D">
        <w:t xml:space="preserve">City </w:t>
      </w:r>
      <w:r>
        <w:t xml:space="preserve">Street Supervisor with an annual wage of $41,000. </w:t>
      </w:r>
      <w:r w:rsidR="00461F7D">
        <w:t>Schlote moved to approve the wage increase. Cornett seconded the motion. Motion carried 3-0.</w:t>
      </w:r>
    </w:p>
    <w:p w:rsidR="00461F7D" w:rsidRDefault="00461F7D" w:rsidP="00C451A8"/>
    <w:p w:rsidR="00461F7D" w:rsidRDefault="00461F7D" w:rsidP="00C451A8">
      <w:r>
        <w:t>Russ Cleveland had met the requirements of his probationary period and Holton recommended that his annual salary be set at $32,000. Schlote moved to approve Cleveland’s wage. Cornett seconded the motion. Motion carried 3-0.</w:t>
      </w:r>
    </w:p>
    <w:p w:rsidR="00461F7D" w:rsidRDefault="00461F7D" w:rsidP="00C451A8"/>
    <w:p w:rsidR="00461F7D" w:rsidRDefault="00461F7D" w:rsidP="00C451A8">
      <w:r>
        <w:t>Paula Hoffman was present to request a Special Designated Liquor license for a wine tasting at Serendipity on June 2</w:t>
      </w:r>
      <w:r w:rsidRPr="00461F7D">
        <w:rPr>
          <w:vertAlign w:val="superscript"/>
        </w:rPr>
        <w:t>nd</w:t>
      </w:r>
      <w:r>
        <w:t xml:space="preserve"> for Jim’s Fine Wine &amp; More of Norfolk. Cornett moved to approve the license. Naprstek seconded the motion. Motion carried 3-0.</w:t>
      </w:r>
    </w:p>
    <w:p w:rsidR="00461F7D" w:rsidRDefault="00461F7D" w:rsidP="00C451A8"/>
    <w:p w:rsidR="00461F7D" w:rsidRDefault="00461F7D" w:rsidP="00C451A8">
      <w:r>
        <w:t>A brief discussion on the disposal and potential sale of used park equipment was held. A formal resolutions for sale of the equipment will be brought to the council once the equipment</w:t>
      </w:r>
      <w:r w:rsidR="00B81B35">
        <w:t xml:space="preserve"> has been removed and is deemed as salvageable for resale. </w:t>
      </w:r>
    </w:p>
    <w:p w:rsidR="00B81B35" w:rsidRDefault="00B81B35" w:rsidP="00C451A8"/>
    <w:p w:rsidR="00B81B35" w:rsidRDefault="00B81B35" w:rsidP="00C451A8">
      <w:r>
        <w:t xml:space="preserve">Holton gave a brief update on the committee meetings with NCPPD and city representatives in regards to the possible integration of electric systems. </w:t>
      </w:r>
    </w:p>
    <w:p w:rsidR="00B81B35" w:rsidRDefault="00B81B35" w:rsidP="00C451A8"/>
    <w:p w:rsidR="00B81B35" w:rsidRDefault="00B81B35" w:rsidP="00C451A8">
      <w:r>
        <w:t>Two housing grant claims were presented from CDS to the council for approval.</w:t>
      </w:r>
    </w:p>
    <w:p w:rsidR="00B81B35" w:rsidRDefault="00B81B35" w:rsidP="00C451A8"/>
    <w:p w:rsidR="00B81B35" w:rsidRDefault="00B81B35" w:rsidP="00C451A8">
      <w:r>
        <w:t>The first claim was for project PLVW-HR-14 in the amount of $6,250.00 to Sudbeck Construction, LLC. Naprstek moved to approve the claim. Schlote seconded the motion. Motion carried 3-0.</w:t>
      </w:r>
    </w:p>
    <w:p w:rsidR="00B81B35" w:rsidRDefault="00B81B35" w:rsidP="00C451A8"/>
    <w:p w:rsidR="00B81B35" w:rsidRDefault="00B81B35" w:rsidP="00C451A8">
      <w:r>
        <w:t>The second claim was for project PLVW-HR-15 to Mike McPlumbing/Electric for $706.00. Naprstek moved to approve the claim. Schlote seconded the motion. Motion carried 3-0.</w:t>
      </w:r>
    </w:p>
    <w:p w:rsidR="00B81B35" w:rsidRDefault="00B81B35" w:rsidP="00C451A8"/>
    <w:p w:rsidR="00A9376B" w:rsidRDefault="00B81B35" w:rsidP="00C451A8">
      <w:r>
        <w:t xml:space="preserve">City Clerk Retzlaff discussed the new copier lease proposed by Eakes Office Solutions. The new lease would allow for a color copier </w:t>
      </w:r>
      <w:r w:rsidR="00A9376B">
        <w:t>and also lower the per-copy price for the city. Cornett moved to approve the lease from Eakes. Naprstek seconded the order. Motion carried 3-0.</w:t>
      </w:r>
    </w:p>
    <w:p w:rsidR="00A9376B" w:rsidRDefault="00A9376B" w:rsidP="00C451A8"/>
    <w:p w:rsidR="00A9376B" w:rsidRDefault="00A9376B" w:rsidP="00C451A8">
      <w:r>
        <w:t xml:space="preserve"> A brief update on the new roof over the power plant was given and </w:t>
      </w:r>
      <w:r w:rsidR="00EC2861">
        <w:t xml:space="preserve">it was discovered that the building lacked sufficient lumber support. The previous roof that was installed left the building wide open to the outside elements. A new metal </w:t>
      </w:r>
      <w:r w:rsidR="006960DF">
        <w:t>fascia</w:t>
      </w:r>
      <w:r w:rsidR="00EC2861">
        <w:t xml:space="preserve"> was installed to make the building water tight. Guarantee Roofing split the added cost with the City of Plainview for a final billing to the city of $4,750.00. Schlote moved to approve the bill to Guarantee Roofing. Naprstek seconded the motion. Motion carried 3-0.</w:t>
      </w:r>
    </w:p>
    <w:p w:rsidR="00EC2861" w:rsidRDefault="00EC2861" w:rsidP="00C451A8"/>
    <w:p w:rsidR="00EC2861" w:rsidRDefault="00F811B7" w:rsidP="00C451A8">
      <w:r>
        <w:t>The council will hold a special meeting on May 15</w:t>
      </w:r>
      <w:r w:rsidRPr="00F811B7">
        <w:rPr>
          <w:vertAlign w:val="superscript"/>
        </w:rPr>
        <w:t>th</w:t>
      </w:r>
      <w:r>
        <w:t xml:space="preserve"> to discuss hiring an Assistant Librarian. </w:t>
      </w:r>
    </w:p>
    <w:p w:rsidR="00F811B7" w:rsidRDefault="00F811B7" w:rsidP="00C451A8"/>
    <w:p w:rsidR="00F811B7" w:rsidRDefault="00F811B7" w:rsidP="00C451A8">
      <w:r>
        <w:t xml:space="preserve">Holton reported on community cleanup days with 34 tons of garbage being brought in by residents. </w:t>
      </w:r>
    </w:p>
    <w:p w:rsidR="00F811B7" w:rsidRDefault="00F811B7" w:rsidP="00C451A8"/>
    <w:p w:rsidR="00F811B7" w:rsidRDefault="00F811B7" w:rsidP="00C451A8">
      <w:r>
        <w:t xml:space="preserve">City Attorney Curtiss gave a brief update on the lease agreement for the garbage totes with Bud’s Sanitary Service, LLC. </w:t>
      </w:r>
    </w:p>
    <w:p w:rsidR="00AD3482" w:rsidRDefault="00AD3482" w:rsidP="00743CDE"/>
    <w:p w:rsidR="00F15DAE" w:rsidRDefault="00F15DAE" w:rsidP="00047546"/>
    <w:p w:rsidR="00A567D8" w:rsidRPr="00DE23C1" w:rsidRDefault="00F15DAE" w:rsidP="00743CDE">
      <w:r>
        <w:t>I</w:t>
      </w:r>
      <w:r w:rsidR="00A567D8" w:rsidRPr="00DE23C1">
        <w:t xml:space="preserve">t was moved </w:t>
      </w:r>
      <w:r w:rsidR="005E1B13">
        <w:t>by Naprstek</w:t>
      </w:r>
      <w:r w:rsidR="00830FA8" w:rsidRPr="00DE23C1">
        <w:t>, seconde</w:t>
      </w:r>
      <w:r w:rsidR="005E1B13">
        <w:t>d by Schlote</w:t>
      </w:r>
      <w:r w:rsidR="00A567D8" w:rsidRPr="00DE23C1">
        <w:t xml:space="preserve"> to </w:t>
      </w:r>
      <w:r w:rsidR="00A346A7" w:rsidRPr="00DE23C1">
        <w:t>adjourn</w:t>
      </w:r>
      <w:r w:rsidR="00202E29" w:rsidRPr="00DE23C1">
        <w:t xml:space="preserve"> the meeting.</w:t>
      </w:r>
      <w:r w:rsidR="00245B11" w:rsidRPr="00DE23C1">
        <w:t xml:space="preserve"> Motion carried 3-0</w:t>
      </w:r>
      <w:r w:rsidR="00EE391A" w:rsidRPr="00DE23C1">
        <w:t>.</w:t>
      </w:r>
    </w:p>
    <w:p w:rsidR="004660B7" w:rsidRPr="00DE23C1" w:rsidRDefault="004660B7" w:rsidP="00743CDE"/>
    <w:p w:rsidR="00743CDE" w:rsidRDefault="005E1B13" w:rsidP="00743CDE">
      <w:r>
        <w:t>TIME: 9:25</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5/8</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6B7101" w:rsidRDefault="006B7101" w:rsidP="00743CDE">
      <w:pPr>
        <w:tabs>
          <w:tab w:val="center" w:pos="4320"/>
          <w:tab w:val="decimal" w:pos="7200"/>
        </w:tabs>
      </w:pPr>
    </w:p>
    <w:p w:rsidR="006B7101" w:rsidRDefault="006B7101" w:rsidP="00743CDE">
      <w:pPr>
        <w:tabs>
          <w:tab w:val="center" w:pos="4320"/>
          <w:tab w:val="decimal" w:pos="7200"/>
        </w:tabs>
      </w:pPr>
    </w:p>
    <w:tbl>
      <w:tblPr>
        <w:tblW w:w="8252" w:type="dxa"/>
        <w:tblLook w:val="04A0" w:firstRow="1" w:lastRow="0" w:firstColumn="1" w:lastColumn="0" w:noHBand="0" w:noVBand="1"/>
      </w:tblPr>
      <w:tblGrid>
        <w:gridCol w:w="816"/>
        <w:gridCol w:w="4129"/>
        <w:gridCol w:w="1863"/>
        <w:gridCol w:w="1560"/>
      </w:tblGrid>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13878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Pierce Co Treasurer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License</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13879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Dolezal</w:t>
            </w:r>
            <w:proofErr w:type="spellEnd"/>
            <w:r w:rsidRPr="00F67836">
              <w:rPr>
                <w:color w:val="000000"/>
              </w:rPr>
              <w:t xml:space="preserve"> Parts Accessories Trucks &amp; Equip</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Repairs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4,500.00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Plainview News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Ad/Su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1,292.17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L.P. Gill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12,913.67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Mitch's Food Center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70.37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Plainview Rural Fire Protection </w:t>
            </w:r>
            <w:proofErr w:type="spellStart"/>
            <w:r w:rsidRPr="00F67836">
              <w:rPr>
                <w:color w:val="000000"/>
              </w:rPr>
              <w:t>Dist</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Qtrly</w:t>
            </w:r>
            <w:proofErr w:type="spellEnd"/>
            <w:r w:rsidRPr="00F67836">
              <w:rPr>
                <w:color w:val="000000"/>
              </w:rPr>
              <w:t xml:space="preserve"> </w:t>
            </w: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4,625.00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Verizon Wireless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Cellphones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492.08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Utility Bill</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80.05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Pool Sales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5,268.45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Library Sales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2,920.50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Manor Sales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2,920.50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13889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Eco Dev Sales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2,920.50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13890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Midwest Bank</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H.S.A. </w:t>
            </w: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300.00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13891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New York Life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Ins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141.70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13892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Postmaster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Postage</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162.15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19897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
        </w:tc>
        <w:tc>
          <w:tcPr>
            <w:tcW w:w="1863" w:type="dxa"/>
            <w:tcBorders>
              <w:top w:val="nil"/>
              <w:left w:val="nil"/>
              <w:bottom w:val="nil"/>
              <w:right w:val="nil"/>
            </w:tcBorders>
            <w:shd w:val="clear" w:color="auto" w:fill="auto"/>
            <w:noWrap/>
            <w:hideMark/>
          </w:tcPr>
          <w:p w:rsidR="00F67836" w:rsidRPr="00F67836" w:rsidRDefault="00F67836" w:rsidP="00F67836">
            <w:pPr>
              <w:jc w:val="center"/>
              <w:rPr>
                <w:sz w:val="20"/>
                <w:szCs w:val="20"/>
              </w:rPr>
            </w:pPr>
          </w:p>
        </w:tc>
        <w:tc>
          <w:tcPr>
            <w:tcW w:w="1560" w:type="dxa"/>
            <w:tcBorders>
              <w:top w:val="nil"/>
              <w:left w:val="nil"/>
              <w:bottom w:val="nil"/>
              <w:right w:val="nil"/>
            </w:tcBorders>
            <w:shd w:val="clear" w:color="auto" w:fill="auto"/>
            <w:noWrap/>
            <w:hideMark/>
          </w:tcPr>
          <w:p w:rsidR="00F67836" w:rsidRPr="00F67836" w:rsidRDefault="00F67836" w:rsidP="00F67836">
            <w:pPr>
              <w:jc w:val="center"/>
              <w:rPr>
                <w:sz w:val="20"/>
                <w:szCs w:val="20"/>
              </w:rPr>
            </w:pP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19903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Employees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Payroll 4-13-2018</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16,720.37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19904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
        </w:tc>
        <w:tc>
          <w:tcPr>
            <w:tcW w:w="1863" w:type="dxa"/>
            <w:tcBorders>
              <w:top w:val="nil"/>
              <w:left w:val="nil"/>
              <w:bottom w:val="nil"/>
              <w:right w:val="nil"/>
            </w:tcBorders>
            <w:shd w:val="clear" w:color="auto" w:fill="auto"/>
            <w:noWrap/>
            <w:hideMark/>
          </w:tcPr>
          <w:p w:rsidR="00F67836" w:rsidRPr="00F67836" w:rsidRDefault="00F67836" w:rsidP="00F67836">
            <w:pPr>
              <w:jc w:val="center"/>
              <w:rPr>
                <w:sz w:val="20"/>
                <w:szCs w:val="20"/>
              </w:rPr>
            </w:pPr>
          </w:p>
        </w:tc>
        <w:tc>
          <w:tcPr>
            <w:tcW w:w="1560" w:type="dxa"/>
            <w:tcBorders>
              <w:top w:val="nil"/>
              <w:left w:val="nil"/>
              <w:bottom w:val="nil"/>
              <w:right w:val="nil"/>
            </w:tcBorders>
            <w:shd w:val="clear" w:color="auto" w:fill="auto"/>
            <w:noWrap/>
            <w:hideMark/>
          </w:tcPr>
          <w:p w:rsidR="00F67836" w:rsidRPr="00F67836" w:rsidRDefault="00F67836" w:rsidP="00F67836">
            <w:pPr>
              <w:jc w:val="center"/>
              <w:rPr>
                <w:sz w:val="20"/>
                <w:szCs w:val="20"/>
              </w:rPr>
            </w:pP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Employees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Payroll 4-30-2018</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14,018.47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Almquist, Maltzahn, Galloway &amp; Luth</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Audit FY 2017</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13,255.00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 A.M. Signs &amp; Graphics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Aflac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Ins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554.19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Alby's Electric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2,295.76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Arnold </w:t>
            </w:r>
            <w:proofErr w:type="spellStart"/>
            <w:r w:rsidRPr="00F67836">
              <w:rPr>
                <w:color w:val="000000"/>
              </w:rPr>
              <w:t>Oltjenbruns</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Reim</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65.40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Barb Friedrich</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Reim</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Bazile Creek Power Sports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Mower</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11,948.42</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Bill </w:t>
            </w:r>
            <w:proofErr w:type="spellStart"/>
            <w:r w:rsidRPr="00F67836">
              <w:rPr>
                <w:color w:val="000000"/>
              </w:rPr>
              <w:t>Bonta</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230.00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19919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Bomgaars</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137.64</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Eileen </w:t>
            </w:r>
            <w:proofErr w:type="spellStart"/>
            <w:r w:rsidRPr="00F67836">
              <w:rPr>
                <w:color w:val="000000"/>
              </w:rPr>
              <w:t>Bramer</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Reim</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37.19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Bud's Sanitary Service LLC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4,752.00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C&amp;D Closure/Post Closure </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1,150.90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Caitlyn Barney</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Meter Refund</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139.74</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Candice Farewell</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Refund</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2.58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Casey's General Store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Fuel</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2,504.26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143.21</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80.00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6,089.48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19929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City of Plainview C&amp;D Sinking Fund</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2,000.00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City of </w:t>
            </w:r>
            <w:proofErr w:type="spellStart"/>
            <w:r w:rsidRPr="00F67836">
              <w:rPr>
                <w:color w:val="000000"/>
              </w:rPr>
              <w:t>Plv</w:t>
            </w:r>
            <w:proofErr w:type="spellEnd"/>
            <w:r w:rsidRPr="00F67836">
              <w:rPr>
                <w:color w:val="000000"/>
              </w:rPr>
              <w:t xml:space="preserve"> Housing Authority</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211.00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City of </w:t>
            </w:r>
            <w:proofErr w:type="spellStart"/>
            <w:r w:rsidRPr="00F67836">
              <w:rPr>
                <w:color w:val="000000"/>
              </w:rPr>
              <w:t>Plv</w:t>
            </w:r>
            <w:proofErr w:type="spellEnd"/>
            <w:r w:rsidRPr="00F67836">
              <w:rPr>
                <w:color w:val="000000"/>
              </w:rPr>
              <w:t xml:space="preserve"> </w:t>
            </w:r>
            <w:proofErr w:type="spellStart"/>
            <w:r w:rsidRPr="00F67836">
              <w:rPr>
                <w:color w:val="000000"/>
              </w:rPr>
              <w:t>Osm</w:t>
            </w:r>
            <w:proofErr w:type="spellEnd"/>
            <w:r w:rsidRPr="00F67836">
              <w:rPr>
                <w:color w:val="000000"/>
              </w:rPr>
              <w:t>/</w:t>
            </w:r>
            <w:proofErr w:type="spellStart"/>
            <w:r w:rsidRPr="00F67836">
              <w:rPr>
                <w:color w:val="000000"/>
              </w:rPr>
              <w:t>Plv</w:t>
            </w:r>
            <w:proofErr w:type="spellEnd"/>
            <w:r w:rsidRPr="00F67836">
              <w:rPr>
                <w:color w:val="000000"/>
              </w:rPr>
              <w:t xml:space="preserve"> Housing</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42.00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Classic Rentals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190.50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Combined Revenue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3,168.96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Cornhusker Auto Center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182.50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Cornhusker International Trucks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394.85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Curtiss Law Office PC LLO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1,250.00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Dept</w:t>
            </w:r>
            <w:proofErr w:type="spellEnd"/>
            <w:r w:rsidRPr="00F67836">
              <w:rPr>
                <w:color w:val="000000"/>
              </w:rPr>
              <w:t xml:space="preserve"> of Energy</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WAPA </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4,769.49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Donna Christiansen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Reim</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63.60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19939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Econo</w:t>
            </w:r>
            <w:proofErr w:type="spellEnd"/>
            <w:r w:rsidRPr="00F67836">
              <w:rPr>
                <w:color w:val="000000"/>
              </w:rPr>
              <w:t xml:space="preserve"> Signs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813.01</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Electrical Engineering &amp; Equip Co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619.23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Electrical System Sinking Fund</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2,000.00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Floor Maintenance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90.63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Francotyp-Postalia</w:t>
            </w:r>
            <w:proofErr w:type="spellEnd"/>
            <w:r w:rsidRPr="00F67836">
              <w:rPr>
                <w:color w:val="000000"/>
              </w:rPr>
              <w:t xml:space="preserve">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165.00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GI Trailer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Great Plains Communications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40.69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GreatAmerica</w:t>
            </w:r>
            <w:proofErr w:type="spellEnd"/>
            <w:r w:rsidRPr="00F67836">
              <w:rPr>
                <w:color w:val="000000"/>
              </w:rPr>
              <w:t xml:space="preserve"> Financial Services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143.37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Green Line Equipment</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62.18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Hampton Inn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Hotel Room</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189.90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19949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Hometown Leasing</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86.00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Ingram Library Services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929.30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Jack's Uniforms &amp; Equipment</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234.85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Jen </w:t>
            </w:r>
            <w:proofErr w:type="spellStart"/>
            <w:r w:rsidRPr="00F67836">
              <w:rPr>
                <w:color w:val="000000"/>
              </w:rPr>
              <w:t>Hodson</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Reim</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JEO Consulting Group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600.00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Larry Petersen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250.00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LaVern</w:t>
            </w:r>
            <w:proofErr w:type="spellEnd"/>
            <w:r w:rsidRPr="00F67836">
              <w:rPr>
                <w:color w:val="000000"/>
              </w:rPr>
              <w:t xml:space="preserve"> Petersen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231.00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Mahaska</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55.20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Matheson Tri-Gas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25.62</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Midwest Service &amp; Sales Co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321.80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19959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Mitch's Food Center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104.32</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Moeller Sprinkler Service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38.50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MEAN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Power</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74,918.44</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NE Public Health </w:t>
            </w:r>
            <w:proofErr w:type="spellStart"/>
            <w:r w:rsidRPr="00F67836">
              <w:rPr>
                <w:color w:val="000000"/>
              </w:rPr>
              <w:t>Env</w:t>
            </w:r>
            <w:proofErr w:type="spellEnd"/>
            <w:r w:rsidRPr="00F67836">
              <w:rPr>
                <w:color w:val="000000"/>
              </w:rPr>
              <w:t xml:space="preserve"> Lab</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109.00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NMPP</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90.18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Netcom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1,274.00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Norfolk </w:t>
            </w:r>
            <w:proofErr w:type="spellStart"/>
            <w:r w:rsidRPr="00F67836">
              <w:rPr>
                <w:color w:val="000000"/>
              </w:rPr>
              <w:t>Winnelson</w:t>
            </w:r>
            <w:proofErr w:type="spellEnd"/>
            <w:r w:rsidRPr="00F67836">
              <w:rPr>
                <w:color w:val="000000"/>
              </w:rPr>
              <w:t xml:space="preserve"> Co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205.82</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Olson's </w:t>
            </w:r>
            <w:proofErr w:type="spellStart"/>
            <w:r w:rsidRPr="00F67836">
              <w:rPr>
                <w:color w:val="000000"/>
              </w:rPr>
              <w:t>Peset</w:t>
            </w:r>
            <w:proofErr w:type="spellEnd"/>
            <w:r w:rsidRPr="00F67836">
              <w:rPr>
                <w:color w:val="000000"/>
              </w:rPr>
              <w:t xml:space="preserve"> Technician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175.00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One Office Solution</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56.00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Petersen Electric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2,117.12</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19969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Plainview Auto Supply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102.86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Planview</w:t>
            </w:r>
            <w:proofErr w:type="spellEnd"/>
            <w:r w:rsidRPr="00F67836">
              <w:rPr>
                <w:color w:val="000000"/>
              </w:rPr>
              <w:t xml:space="preserve"> News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48.60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Plainview Telephone Co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1,267.94</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Popular Subscription Service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452.83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19973</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S&amp;S Express LLC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1,127.91</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19974</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Schaefer Grain Co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585.00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19975</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T&amp;R Electric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7,450.00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19976</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The Creighton News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46.00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19977</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The </w:t>
            </w:r>
            <w:proofErr w:type="spellStart"/>
            <w:r w:rsidRPr="00F67836">
              <w:rPr>
                <w:color w:val="000000"/>
              </w:rPr>
              <w:t>Farner</w:t>
            </w:r>
            <w:proofErr w:type="spellEnd"/>
            <w:r w:rsidRPr="00F67836">
              <w:rPr>
                <w:color w:val="000000"/>
              </w:rPr>
              <w:t xml:space="preserve"> Co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34.81</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19978</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TMS International LLC</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343.80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19979</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Uline</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230.69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19980</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USA Bluebook</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124.65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19981</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Volkman</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176.60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19982</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Water Tower Bond Acct</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2,800.83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Allied Benefit Services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Ins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12,202.23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Black Hills Energy</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Gas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1,592.40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Community Bankers </w:t>
            </w:r>
            <w:proofErr w:type="spellStart"/>
            <w:r w:rsidRPr="00F67836">
              <w:rPr>
                <w:color w:val="000000"/>
              </w:rPr>
              <w:t>Merch</w:t>
            </w:r>
            <w:proofErr w:type="spellEnd"/>
            <w:r w:rsidRPr="00F67836">
              <w:rPr>
                <w:color w:val="000000"/>
              </w:rPr>
              <w:t xml:space="preserve"> Service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935.96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Crashplan</w:t>
            </w:r>
            <w:proofErr w:type="spellEnd"/>
            <w:r w:rsidRPr="00F67836">
              <w:rPr>
                <w:color w:val="000000"/>
              </w:rPr>
              <w:t xml:space="preserve"> Pro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Svc</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19.98</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Dearborn National Life Ins Co</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Ins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186.00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EFTPS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Fed Tax W/H</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4,110.53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ACH </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EFTPS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Fed Tax W/H</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4,886.01</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Healthplan</w:t>
            </w:r>
            <w:proofErr w:type="spellEnd"/>
            <w:r w:rsidRPr="00F67836">
              <w:rPr>
                <w:color w:val="000000"/>
              </w:rPr>
              <w:t xml:space="preserve"> Services </w:t>
            </w:r>
            <w:proofErr w:type="spellStart"/>
            <w:r w:rsidRPr="00F67836">
              <w:rPr>
                <w:color w:val="000000"/>
              </w:rPr>
              <w:t>Inc</w:t>
            </w:r>
            <w:proofErr w:type="spellEnd"/>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Emp</w:t>
            </w:r>
            <w:proofErr w:type="spellEnd"/>
            <w:r w:rsidRPr="00F67836">
              <w:rPr>
                <w:color w:val="000000"/>
              </w:rPr>
              <w:t xml:space="preserve"> Ins</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170.40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Kiefer Swim Products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200.70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Lathem</w:t>
            </w:r>
            <w:proofErr w:type="spellEnd"/>
            <w:r w:rsidRPr="00F67836">
              <w:rPr>
                <w:color w:val="000000"/>
              </w:rPr>
              <w:t xml:space="preserve"> Time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33.19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Mary's Restaurant</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65.75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Mass Mutual </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Pension</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2,210.09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Mass Mutual </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Pension</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2,210.09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Midwest Bank</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NSF Check</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267.77</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NE </w:t>
            </w:r>
            <w:proofErr w:type="spellStart"/>
            <w:r w:rsidRPr="00F67836">
              <w:rPr>
                <w:color w:val="000000"/>
              </w:rPr>
              <w:t>Dept</w:t>
            </w:r>
            <w:proofErr w:type="spellEnd"/>
            <w:r w:rsidRPr="00F67836">
              <w:rPr>
                <w:color w:val="000000"/>
              </w:rPr>
              <w:t xml:space="preserve"> of Revenue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State W/H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1,244.40</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NE </w:t>
            </w:r>
            <w:proofErr w:type="spellStart"/>
            <w:r w:rsidRPr="00F67836">
              <w:rPr>
                <w:color w:val="000000"/>
              </w:rPr>
              <w:t>Dept</w:t>
            </w:r>
            <w:proofErr w:type="spellEnd"/>
            <w:r w:rsidRPr="00F67836">
              <w:rPr>
                <w:color w:val="000000"/>
              </w:rPr>
              <w:t xml:space="preserve"> of Revenue</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Sales &amp; Use Tax</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7,851.66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Nebraska Liquor Commission </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42.75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Nebraska UC Fund</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Qtrly</w:t>
            </w:r>
            <w:proofErr w:type="spellEnd"/>
            <w:r w:rsidRPr="00F67836">
              <w:rPr>
                <w:color w:val="000000"/>
              </w:rPr>
              <w:t xml:space="preserve"> </w:t>
            </w: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223.55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Office Max</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133.73</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Postmaster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Postage</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1.26</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Postmaster</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Postage</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2.75</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The Gift Box- FRHS</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Su</w:t>
            </w:r>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47.99</w:t>
            </w:r>
          </w:p>
        </w:tc>
      </w:tr>
      <w:tr w:rsidR="00F67836" w:rsidRPr="00F67836" w:rsidTr="00F67836">
        <w:trPr>
          <w:trHeight w:val="300"/>
        </w:trPr>
        <w:tc>
          <w:tcPr>
            <w:tcW w:w="70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ACH</w:t>
            </w:r>
          </w:p>
        </w:tc>
        <w:tc>
          <w:tcPr>
            <w:tcW w:w="4129"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 xml:space="preserve">Woodbury Co Extension </w:t>
            </w:r>
          </w:p>
        </w:tc>
        <w:tc>
          <w:tcPr>
            <w:tcW w:w="1863" w:type="dxa"/>
            <w:tcBorders>
              <w:top w:val="nil"/>
              <w:left w:val="nil"/>
              <w:bottom w:val="nil"/>
              <w:right w:val="nil"/>
            </w:tcBorders>
            <w:shd w:val="clear" w:color="auto" w:fill="auto"/>
            <w:noWrap/>
            <w:hideMark/>
          </w:tcPr>
          <w:p w:rsidR="00F67836" w:rsidRPr="00F67836" w:rsidRDefault="00F67836" w:rsidP="00F67836">
            <w:pPr>
              <w:jc w:val="center"/>
              <w:rPr>
                <w:color w:val="000000"/>
              </w:rPr>
            </w:pPr>
            <w:proofErr w:type="spellStart"/>
            <w:r w:rsidRPr="00F67836">
              <w:rPr>
                <w:color w:val="000000"/>
              </w:rPr>
              <w:t>Pmt</w:t>
            </w:r>
            <w:proofErr w:type="spellEnd"/>
          </w:p>
        </w:tc>
        <w:tc>
          <w:tcPr>
            <w:tcW w:w="1560" w:type="dxa"/>
            <w:tcBorders>
              <w:top w:val="nil"/>
              <w:left w:val="nil"/>
              <w:bottom w:val="nil"/>
              <w:right w:val="nil"/>
            </w:tcBorders>
            <w:shd w:val="clear" w:color="auto" w:fill="auto"/>
            <w:noWrap/>
            <w:hideMark/>
          </w:tcPr>
          <w:p w:rsidR="00F67836" w:rsidRPr="00F67836" w:rsidRDefault="00F67836" w:rsidP="00F67836">
            <w:pPr>
              <w:jc w:val="center"/>
              <w:rPr>
                <w:color w:val="000000"/>
              </w:rPr>
            </w:pPr>
            <w:r w:rsidRPr="00F67836">
              <w:rPr>
                <w:color w:val="000000"/>
              </w:rPr>
              <w:t>93.42</w:t>
            </w:r>
          </w:p>
        </w:tc>
      </w:tr>
    </w:tbl>
    <w:p w:rsidR="00AE3F6F" w:rsidRDefault="00AE3F6F" w:rsidP="00743CDE">
      <w:pPr>
        <w:tabs>
          <w:tab w:val="center" w:pos="4320"/>
          <w:tab w:val="decimal" w:pos="7200"/>
        </w:tabs>
      </w:pPr>
    </w:p>
    <w:sectPr w:rsidR="00AE3F6F" w:rsidSect="00937A85">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2"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0"/>
  </w:num>
  <w:num w:numId="4">
    <w:abstractNumId w:val="18"/>
  </w:num>
  <w:num w:numId="5">
    <w:abstractNumId w:val="27"/>
  </w:num>
  <w:num w:numId="6">
    <w:abstractNumId w:val="5"/>
  </w:num>
  <w:num w:numId="7">
    <w:abstractNumId w:val="7"/>
  </w:num>
  <w:num w:numId="8">
    <w:abstractNumId w:val="0"/>
  </w:num>
  <w:num w:numId="9">
    <w:abstractNumId w:val="11"/>
  </w:num>
  <w:num w:numId="10">
    <w:abstractNumId w:val="17"/>
  </w:num>
  <w:num w:numId="11">
    <w:abstractNumId w:val="13"/>
  </w:num>
  <w:num w:numId="12">
    <w:abstractNumId w:val="15"/>
  </w:num>
  <w:num w:numId="13">
    <w:abstractNumId w:val="22"/>
  </w:num>
  <w:num w:numId="14">
    <w:abstractNumId w:val="23"/>
  </w:num>
  <w:num w:numId="15">
    <w:abstractNumId w:val="2"/>
  </w:num>
  <w:num w:numId="16">
    <w:abstractNumId w:val="1"/>
  </w:num>
  <w:num w:numId="17">
    <w:abstractNumId w:val="26"/>
  </w:num>
  <w:num w:numId="18">
    <w:abstractNumId w:val="3"/>
  </w:num>
  <w:num w:numId="19">
    <w:abstractNumId w:val="16"/>
  </w:num>
  <w:num w:numId="20">
    <w:abstractNumId w:val="19"/>
  </w:num>
  <w:num w:numId="21">
    <w:abstractNumId w:val="12"/>
  </w:num>
  <w:num w:numId="22">
    <w:abstractNumId w:val="6"/>
  </w:num>
  <w:num w:numId="23">
    <w:abstractNumId w:val="20"/>
  </w:num>
  <w:num w:numId="24">
    <w:abstractNumId w:val="24"/>
  </w:num>
  <w:num w:numId="25">
    <w:abstractNumId w:val="9"/>
  </w:num>
  <w:num w:numId="26">
    <w:abstractNumId w:val="25"/>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69EE"/>
    <w:rsid w:val="006C6E74"/>
    <w:rsid w:val="006D2D54"/>
    <w:rsid w:val="006D2F95"/>
    <w:rsid w:val="006D569D"/>
    <w:rsid w:val="006E1904"/>
    <w:rsid w:val="006E7AD8"/>
    <w:rsid w:val="006F3538"/>
    <w:rsid w:val="006F7E41"/>
    <w:rsid w:val="00702C0D"/>
    <w:rsid w:val="00710BD6"/>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A096A"/>
    <w:rsid w:val="007A0E3A"/>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91067"/>
    <w:rsid w:val="008A3AAF"/>
    <w:rsid w:val="008A3F74"/>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C43B3"/>
    <w:rsid w:val="009C623E"/>
    <w:rsid w:val="009D1855"/>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376B"/>
    <w:rsid w:val="00A960D2"/>
    <w:rsid w:val="00A9685B"/>
    <w:rsid w:val="00AA2605"/>
    <w:rsid w:val="00AA4C86"/>
    <w:rsid w:val="00AB1CDF"/>
    <w:rsid w:val="00AB2462"/>
    <w:rsid w:val="00AB478A"/>
    <w:rsid w:val="00AB7AE3"/>
    <w:rsid w:val="00AC645D"/>
    <w:rsid w:val="00AD1F4D"/>
    <w:rsid w:val="00AD2E54"/>
    <w:rsid w:val="00AD3482"/>
    <w:rsid w:val="00AD6AFB"/>
    <w:rsid w:val="00AD747A"/>
    <w:rsid w:val="00AE0117"/>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F6A"/>
    <w:rsid w:val="00C0152A"/>
    <w:rsid w:val="00C028B7"/>
    <w:rsid w:val="00C06DD3"/>
    <w:rsid w:val="00C1266A"/>
    <w:rsid w:val="00C12CF8"/>
    <w:rsid w:val="00C33156"/>
    <w:rsid w:val="00C338A9"/>
    <w:rsid w:val="00C35317"/>
    <w:rsid w:val="00C353DD"/>
    <w:rsid w:val="00C36AC4"/>
    <w:rsid w:val="00C40790"/>
    <w:rsid w:val="00C41964"/>
    <w:rsid w:val="00C41D1E"/>
    <w:rsid w:val="00C451A8"/>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66B87"/>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3C1"/>
    <w:rsid w:val="00DE25F2"/>
    <w:rsid w:val="00DE28F5"/>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4D8F2-1353-40E9-A2EE-8006398D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8</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53</cp:revision>
  <cp:lastPrinted>2018-05-15T13:14:00Z</cp:lastPrinted>
  <dcterms:created xsi:type="dcterms:W3CDTF">2017-10-16T17:06:00Z</dcterms:created>
  <dcterms:modified xsi:type="dcterms:W3CDTF">2018-05-15T13:18:00Z</dcterms:modified>
</cp:coreProperties>
</file>