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8E0E5E" w:rsidP="00301E00">
      <w:pPr>
        <w:pBdr>
          <w:bottom w:val="dotted" w:sz="24" w:space="1" w:color="auto"/>
        </w:pBdr>
        <w:ind w:left="2880" w:firstLine="720"/>
        <w:rPr>
          <w:b/>
          <w:bCs/>
          <w:color w:val="FF0000"/>
        </w:rPr>
      </w:pPr>
      <w:r>
        <w:rPr>
          <w:b/>
          <w:bCs/>
          <w:color w:val="FF0000"/>
        </w:rPr>
        <w:t>TUESDAY JUNE 11</w:t>
      </w:r>
      <w:r w:rsidR="00957074">
        <w:rPr>
          <w:b/>
          <w:bCs/>
          <w:color w:val="FF0000"/>
        </w:rPr>
        <w:t>,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8E0E5E">
        <w:t>11</w:t>
      </w:r>
      <w:r w:rsidR="006C5F8C" w:rsidRPr="006C5F8C">
        <w:rPr>
          <w:vertAlign w:val="superscript"/>
        </w:rPr>
        <w:t>th</w:t>
      </w:r>
      <w:r w:rsidR="008E0E5E">
        <w:t xml:space="preserve"> day of June</w:t>
      </w:r>
      <w:r w:rsidR="00CD0761">
        <w:t xml:space="preserve"> at 6:30</w:t>
      </w:r>
      <w:r>
        <w:t xml:space="preserve"> o’clock P.M.  </w:t>
      </w:r>
    </w:p>
    <w:p w:rsidR="006102C6" w:rsidRDefault="006102C6" w:rsidP="00505DCB"/>
    <w:p w:rsidR="00505DCB" w:rsidRDefault="006102C6" w:rsidP="00505DCB">
      <w:r>
        <w:t>Roll call was held and p</w:t>
      </w:r>
      <w:r w:rsidR="00093661">
        <w:t xml:space="preserve">resent were: </w:t>
      </w:r>
      <w:r w:rsidR="00EE1199">
        <w:t xml:space="preserve">Mayor Seip; </w:t>
      </w:r>
      <w:r w:rsidR="0041404E">
        <w:t>Counc</w:t>
      </w:r>
      <w:r w:rsidR="00957074">
        <w:t xml:space="preserve">il </w:t>
      </w:r>
      <w:r w:rsidR="008E0E5E">
        <w:t>Members: Smith, Cornett</w:t>
      </w:r>
      <w:r w:rsidR="00957074">
        <w:t xml:space="preserve"> and Yosten. </w:t>
      </w:r>
      <w:r w:rsidR="008E0E5E">
        <w:t>Absent: Schlote</w:t>
      </w:r>
    </w:p>
    <w:p w:rsidR="00743CDE" w:rsidRDefault="00743CDE" w:rsidP="00743CDE"/>
    <w:p w:rsidR="00743CDE" w:rsidRDefault="00743CDE" w:rsidP="00743CDE">
      <w:r>
        <w:t>The Pledge of Allegiance was then recited.</w:t>
      </w:r>
    </w:p>
    <w:p w:rsidR="00743CDE" w:rsidRDefault="00743CDE" w:rsidP="00743CDE"/>
    <w:p w:rsidR="00743CDE" w:rsidRDefault="006C5F8C" w:rsidP="00743CDE">
      <w:r>
        <w:t>Mayor Seip</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2D6D6D" w:rsidRDefault="00051671" w:rsidP="00743CDE">
      <w:r>
        <w:t>Yosten moved to approve the May 14</w:t>
      </w:r>
      <w:r w:rsidRPr="00051671">
        <w:rPr>
          <w:vertAlign w:val="superscript"/>
        </w:rPr>
        <w:t>th</w:t>
      </w:r>
      <w:r>
        <w:t xml:space="preserve"> </w:t>
      </w:r>
      <w:r w:rsidR="00EE1199">
        <w:t>regular meeting minutes. Cornett</w:t>
      </w:r>
      <w:r w:rsidR="002D6D6D">
        <w:t xml:space="preserve"> secon</w:t>
      </w:r>
      <w:r>
        <w:t>ded the motion. Motion carried 3</w:t>
      </w:r>
      <w:r w:rsidR="002D6D6D">
        <w:t>-0.</w:t>
      </w:r>
    </w:p>
    <w:p w:rsidR="00051671" w:rsidRDefault="00051671" w:rsidP="00743CDE"/>
    <w:p w:rsidR="00051671" w:rsidRDefault="00051671" w:rsidP="00743CDE">
      <w:r>
        <w:t>Cornett moved to approve the May 23</w:t>
      </w:r>
      <w:r w:rsidRPr="00051671">
        <w:rPr>
          <w:vertAlign w:val="superscript"/>
        </w:rPr>
        <w:t>rd</w:t>
      </w:r>
      <w:r>
        <w:t xml:space="preserve"> special meeting minutes. Yosten seconded the motion. Motion carried 3-0.</w:t>
      </w:r>
    </w:p>
    <w:p w:rsidR="002D6D6D" w:rsidRDefault="002D6D6D" w:rsidP="00743CDE"/>
    <w:p w:rsidR="002D6D6D" w:rsidRDefault="002D6D6D" w:rsidP="00743CDE">
      <w:r>
        <w:t>Cornett moved to approve cou</w:t>
      </w:r>
      <w:r w:rsidR="00EE1199">
        <w:t>ncil claims and payroll</w:t>
      </w:r>
      <w:r w:rsidR="00903A42">
        <w:t>.</w:t>
      </w:r>
      <w:r w:rsidR="00EE1199">
        <w:t xml:space="preserve"> Smith</w:t>
      </w:r>
      <w:r>
        <w:t xml:space="preserve"> seconded the motion. Motion carried </w:t>
      </w:r>
      <w:r w:rsidR="00051671">
        <w:t>3</w:t>
      </w:r>
      <w:r w:rsidR="00093661">
        <w:t>-0.</w:t>
      </w:r>
    </w:p>
    <w:p w:rsidR="00051671" w:rsidRDefault="00051671" w:rsidP="00743CDE"/>
    <w:p w:rsidR="00051671" w:rsidRDefault="00051671" w:rsidP="00743CDE">
      <w:r>
        <w:t xml:space="preserve">No Manor report was given. </w:t>
      </w:r>
    </w:p>
    <w:p w:rsidR="00051671" w:rsidRDefault="00051671" w:rsidP="00743CDE"/>
    <w:p w:rsidR="00051671" w:rsidRDefault="00051671" w:rsidP="00743CDE">
      <w:r>
        <w:t xml:space="preserve">Police Chief Bruce presented his monthly report. </w:t>
      </w:r>
    </w:p>
    <w:p w:rsidR="00051671" w:rsidRDefault="00051671" w:rsidP="00743CDE"/>
    <w:p w:rsidR="00051671" w:rsidRDefault="00051671" w:rsidP="00743CDE">
      <w:r>
        <w:t>No Economic Development report was given.</w:t>
      </w:r>
    </w:p>
    <w:p w:rsidR="00051671" w:rsidRDefault="00051671" w:rsidP="00743CDE"/>
    <w:p w:rsidR="00051671" w:rsidRDefault="00051671" w:rsidP="00743CDE">
      <w:r>
        <w:t xml:space="preserve">City Superintendent Curt Hart gave updates on the opening of </w:t>
      </w:r>
      <w:r w:rsidR="000C6B6B">
        <w:t>the swimming pool, concrete work on city streets</w:t>
      </w:r>
      <w:r>
        <w:t>, mowing and cleanup around town in preparation of Klown Days. Nebraska Rural Water Association will be in town on June 20</w:t>
      </w:r>
      <w:r w:rsidRPr="00051671">
        <w:rPr>
          <w:vertAlign w:val="superscript"/>
        </w:rPr>
        <w:t>th</w:t>
      </w:r>
      <w:r>
        <w:t xml:space="preserve"> to start a rate study for water and sewer rates. </w:t>
      </w:r>
    </w:p>
    <w:p w:rsidR="00DC560F" w:rsidRDefault="00DC560F" w:rsidP="00743CDE"/>
    <w:p w:rsidR="00DC560F" w:rsidRDefault="00DC560F" w:rsidP="00743CDE">
      <w:r>
        <w:t>City Administrator Holton updated on future gap paving projects in town, JEO m</w:t>
      </w:r>
      <w:r w:rsidR="000C6B6B">
        <w:t>apping for water</w:t>
      </w:r>
      <w:r>
        <w:t>, future community garden by the water tower in conjunction with CHI Health and a refund received from MEAN for rate adjustments totaling approximately $62,000. Holton also stated that NCPPD General Manager Keith Harvey will be retiring and an open house is planned on June 25</w:t>
      </w:r>
      <w:r w:rsidRPr="00DC560F">
        <w:rPr>
          <w:vertAlign w:val="superscript"/>
        </w:rPr>
        <w:t>th</w:t>
      </w:r>
      <w:r>
        <w:t xml:space="preserve"> in Creighton. </w:t>
      </w:r>
    </w:p>
    <w:p w:rsidR="00DC560F" w:rsidRDefault="00DC560F" w:rsidP="00743CDE"/>
    <w:p w:rsidR="00DC560F" w:rsidRDefault="00DC560F" w:rsidP="00743CDE">
      <w:r>
        <w:t>Hart and Holton presented on a sewer vac</w:t>
      </w:r>
      <w:r w:rsidR="004B6E05">
        <w:t xml:space="preserve">uum </w:t>
      </w:r>
      <w:r>
        <w:t xml:space="preserve">truck that would replace the current </w:t>
      </w:r>
      <w:r w:rsidR="00382329">
        <w:t xml:space="preserve">sewer </w:t>
      </w:r>
      <w:r>
        <w:t xml:space="preserve">jetter machine. </w:t>
      </w:r>
      <w:r w:rsidR="00E0407C">
        <w:t xml:space="preserve">The current machine could be listed for sale or traded in to reduce the cost of the new machine. Approximate cost of the new machine is $35,000 with a trade in value on the current equipment of $7,100. Holton stated that purchase of the sewer vacuum truck would allow city staff to clean the sewer system in-house and also allow the possibility of renting out to other </w:t>
      </w:r>
      <w:r w:rsidR="00E0407C">
        <w:lastRenderedPageBreak/>
        <w:t>communities that may require that service. A resolution would be required at the next council meeting in order to finalize the purchase. Cornett moved to pursue the purchase of a 1996 sewer vacuum truck. Smith seconded the motion. Motion carried 3-0.</w:t>
      </w:r>
    </w:p>
    <w:p w:rsidR="00E0407C" w:rsidRDefault="00E0407C" w:rsidP="00743CDE"/>
    <w:p w:rsidR="00E0407C" w:rsidRDefault="00E0407C" w:rsidP="00743CDE">
      <w:r>
        <w:t>Holton stated that the purchase of a different street sweeper is needed as the current equipment is no longer functioning correctly even with continued maintenance. It was agreed that the purchase of a street sweeper would need to wait until the sewer equipment was finalized. Cost of the street sweeper would be approximately $50,000.</w:t>
      </w:r>
    </w:p>
    <w:p w:rsidR="00E0407C" w:rsidRDefault="00E0407C" w:rsidP="00743CDE"/>
    <w:p w:rsidR="00E0407C" w:rsidRDefault="00E0407C" w:rsidP="00743CDE">
      <w:r>
        <w:t xml:space="preserve">The public hearing for LB840 remained open from the May council meeting. Kevin Lingenfelter </w:t>
      </w:r>
      <w:r w:rsidR="00597772">
        <w:t>presented on what the board had approved over the past 6 months. Updates on a loan provided to Keystone Bar for picnic tables, the new 4 unit housing complex proposed for north 4</w:t>
      </w:r>
      <w:r w:rsidR="00597772" w:rsidRPr="00597772">
        <w:rPr>
          <w:vertAlign w:val="superscript"/>
        </w:rPr>
        <w:t>th</w:t>
      </w:r>
      <w:r w:rsidR="00597772">
        <w:t xml:space="preserve"> Street and potential Downtown Revitalization grant funding. </w:t>
      </w:r>
    </w:p>
    <w:p w:rsidR="00597772" w:rsidRDefault="00597772" w:rsidP="00743CDE"/>
    <w:p w:rsidR="00597772" w:rsidRDefault="00597772" w:rsidP="00743CDE">
      <w:r>
        <w:t>Cornett moved to close the public hearing at 7:05 PM. Smith seconded the motion. Motion carried 3-0.</w:t>
      </w:r>
    </w:p>
    <w:p w:rsidR="00597772" w:rsidRDefault="00597772" w:rsidP="00743CDE"/>
    <w:p w:rsidR="00597772" w:rsidRDefault="00597772" w:rsidP="00743CDE">
      <w:r>
        <w:t>Mayor Seip made recommendations for appointments to 2 city boards.</w:t>
      </w:r>
    </w:p>
    <w:p w:rsidR="00597772" w:rsidRDefault="00597772" w:rsidP="00743CDE"/>
    <w:p w:rsidR="00597772" w:rsidRDefault="00597772" w:rsidP="00743CDE">
      <w:r>
        <w:t>Seip recommended Chris Fonner and Vicki Peterson to be re-appointed to the Manor board for a 2 year term. Cornett moved to approve the recommendation. Smith seconded the motion. Motion carried 3-0.</w:t>
      </w:r>
    </w:p>
    <w:p w:rsidR="00597772" w:rsidRDefault="00597772" w:rsidP="00743CDE"/>
    <w:p w:rsidR="00597772" w:rsidRDefault="00597772" w:rsidP="00743CDE">
      <w:r>
        <w:t>Seip recommended Tim Utecht to be re-appointed to the zoning board for a 3 year term. Cornett moved to approve the recommendation. Yosten seconded the motion. Motion carried 3-0.</w:t>
      </w:r>
    </w:p>
    <w:p w:rsidR="00597772" w:rsidRDefault="00597772" w:rsidP="00743CDE"/>
    <w:p w:rsidR="00597772" w:rsidRDefault="00597772" w:rsidP="00743CDE">
      <w:r>
        <w:t>An update to the previously stated wage for Nikki Mosel was made as it should be $9.75 an hour per the pool board recommendation. The wage was stated as $9.25 in May. Cornett moved to approve the wage change. Smith seconded the motion. Motion carried 3-0.</w:t>
      </w:r>
    </w:p>
    <w:p w:rsidR="00597772" w:rsidRDefault="00597772" w:rsidP="00743CDE"/>
    <w:p w:rsidR="00597772" w:rsidRDefault="00597772" w:rsidP="00743CDE">
      <w:r>
        <w:t xml:space="preserve">A brief update on the need for updated water meter system was given by City Superintendent Hart and City Clerk Retzlaff. The current system will no longer </w:t>
      </w:r>
      <w:r w:rsidR="005E1589">
        <w:t xml:space="preserve">be supported in 2021. Adjustments in water and sewer rates will need to be evaluated and accounted for during the upcoming budget season. </w:t>
      </w:r>
    </w:p>
    <w:p w:rsidR="005E1589" w:rsidRDefault="005E1589" w:rsidP="00743CDE"/>
    <w:p w:rsidR="005E1589" w:rsidRDefault="005E1589" w:rsidP="00743CDE">
      <w:r>
        <w:t xml:space="preserve">A brief discussion on the need for updated regulations to Keno grant funding was held. The guidelines that are currently in place will need to be followed closely going forward. Holton presented a draft copy to the council that will lower the maximum amount awarded to $1,000 for any organization unless approval from the city or city council is given. The passage of the new application will be voted on at the July council meeting. </w:t>
      </w:r>
    </w:p>
    <w:p w:rsidR="005E1589" w:rsidRDefault="005E1589" w:rsidP="00743CDE"/>
    <w:p w:rsidR="005E1589" w:rsidRDefault="005E1589" w:rsidP="00743CDE">
      <w:r>
        <w:t xml:space="preserve">A discussion on the unlicensed vehicle report from the police chief that was requested by the council in January and March was held. Council member Cornett stated that motions were passed in January that should be followed. Mayor Seip did not feel that there was a need for names of those registered to the vehicles in question needed to be given to the council. Chief Yosten noted that a previous Mayor had stated that any report given did not need to </w:t>
      </w:r>
      <w:r w:rsidR="00382329">
        <w:t xml:space="preserve">include names. Cornett moved to keep the original motion as passed in January. Smith seconded the motion. Motion carried 2-0 with Yosten abstaining. </w:t>
      </w:r>
    </w:p>
    <w:p w:rsidR="00382329" w:rsidRDefault="00382329" w:rsidP="00743CDE"/>
    <w:p w:rsidR="00382329" w:rsidRDefault="00382329" w:rsidP="00743CDE">
      <w:r>
        <w:t xml:space="preserve">City Attorney Curtiss gave updates on the property on south King Street and also questions on the </w:t>
      </w:r>
      <w:r w:rsidR="000C6B6B">
        <w:t xml:space="preserve">status of the </w:t>
      </w:r>
      <w:r>
        <w:t xml:space="preserve">RDBG and IRP grants. </w:t>
      </w:r>
    </w:p>
    <w:p w:rsidR="00382329" w:rsidRDefault="00382329" w:rsidP="00743CDE"/>
    <w:p w:rsidR="00597772" w:rsidRDefault="00382329" w:rsidP="00743CDE">
      <w:r>
        <w:t xml:space="preserve">City council members had questions on the status of the former council chambers being utilized by other businesses, approval of claims and payroll and employee evaluations. </w:t>
      </w:r>
    </w:p>
    <w:p w:rsidR="00EE1199" w:rsidRDefault="00EE1199" w:rsidP="00743CDE"/>
    <w:p w:rsidR="00F15DAE" w:rsidRDefault="00F15DAE" w:rsidP="00047546"/>
    <w:p w:rsidR="00A567D8" w:rsidRDefault="00F15DAE" w:rsidP="00743CDE">
      <w:r>
        <w:t>I</w:t>
      </w:r>
      <w:r w:rsidR="00A567D8" w:rsidRPr="00DE23C1">
        <w:t xml:space="preserve">t was moved </w:t>
      </w:r>
      <w:r w:rsidR="008337E5">
        <w:t>by</w:t>
      </w:r>
      <w:r w:rsidR="008E0E5E">
        <w:t xml:space="preserve"> Smith</w:t>
      </w:r>
      <w:r w:rsidR="00830FA8" w:rsidRPr="00DE23C1">
        <w:t>, seconde</w:t>
      </w:r>
      <w:r w:rsidR="008E0E5E">
        <w:t>d by Yosten</w:t>
      </w:r>
      <w:r w:rsidR="00A567D8" w:rsidRPr="00DE23C1">
        <w:t xml:space="preserve"> to </w:t>
      </w:r>
      <w:r w:rsidR="00A346A7" w:rsidRPr="00DE23C1">
        <w:t>adjourn</w:t>
      </w:r>
      <w:r w:rsidR="00202E29" w:rsidRPr="00DE23C1">
        <w:t xml:space="preserve"> the meeting.</w:t>
      </w:r>
      <w:r w:rsidR="0089279C">
        <w:t xml:space="preserve"> Mo</w:t>
      </w:r>
      <w:r w:rsidR="008E0E5E">
        <w:t>tion carried 3</w:t>
      </w:r>
      <w:r w:rsidR="00245B11" w:rsidRPr="00DE23C1">
        <w:t>-0</w:t>
      </w:r>
      <w:r w:rsidR="00EE391A" w:rsidRPr="00DE23C1">
        <w:t>.</w:t>
      </w:r>
    </w:p>
    <w:p w:rsidR="00D916CD" w:rsidRDefault="00D916CD" w:rsidP="00743CDE"/>
    <w:p w:rsidR="004660B7" w:rsidRPr="00DE23C1" w:rsidRDefault="004660B7" w:rsidP="00743CDE"/>
    <w:p w:rsidR="00F2066E" w:rsidRDefault="008E0E5E" w:rsidP="00743CDE">
      <w:r>
        <w:t>TIME: 7:40</w:t>
      </w:r>
      <w:r w:rsidR="00CB13CF" w:rsidRPr="00DE23C1">
        <w:t xml:space="preserve"> P.M</w:t>
      </w:r>
      <w:r w:rsidR="00E12275" w:rsidRPr="00DE23C1">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8E0E5E" w:rsidP="00743CDE">
      <w:pPr>
        <w:jc w:val="both"/>
      </w:pPr>
      <w:r>
        <w:t xml:space="preserve">Daren Seip, Mayor </w:t>
      </w:r>
      <w:r>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8E0E5E">
        <w:t>06/11</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070035" w:rsidRDefault="00070035" w:rsidP="00743CDE">
      <w:pPr>
        <w:tabs>
          <w:tab w:val="center" w:pos="4320"/>
          <w:tab w:val="decimal" w:pos="7200"/>
        </w:tabs>
      </w:pPr>
    </w:p>
    <w:tbl>
      <w:tblPr>
        <w:tblW w:w="8721" w:type="dxa"/>
        <w:tblLook w:val="04A0" w:firstRow="1" w:lastRow="0" w:firstColumn="1" w:lastColumn="0" w:noHBand="0" w:noVBand="1"/>
      </w:tblPr>
      <w:tblGrid>
        <w:gridCol w:w="1080"/>
        <w:gridCol w:w="3664"/>
        <w:gridCol w:w="2417"/>
        <w:gridCol w:w="1560"/>
      </w:tblGrid>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Aflac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475.41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LB840 Loan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160.00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Plv Housing Authority</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Housing Grant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Toni Arehart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Reim</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34.21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Plv Osm/Plv Housing</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Housing Grant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42.00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Roger Lloyd</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14189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Pool Sales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6,255.45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Library Sales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3,418.95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Manor Sales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3,418.95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Eco Dev Sales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3,418.95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LB840 Loan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143.21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NE Rural Water Assoc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Dues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175.00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Midwest Bank</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HSA</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GreatAmerica Financial Services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Copier Lease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143.37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New York Life</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77.70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Midwest Bank</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Pool Change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150.00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14199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Postmaster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Postage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180.95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21035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Employees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p>
        </w:tc>
        <w:tc>
          <w:tcPr>
            <w:tcW w:w="1560" w:type="dxa"/>
            <w:tcBorders>
              <w:top w:val="nil"/>
              <w:left w:val="nil"/>
              <w:bottom w:val="nil"/>
              <w:right w:val="nil"/>
            </w:tcBorders>
            <w:shd w:val="clear" w:color="auto" w:fill="auto"/>
            <w:noWrap/>
            <w:hideMark/>
          </w:tcPr>
          <w:p w:rsidR="00070035" w:rsidRPr="00070035" w:rsidRDefault="00070035" w:rsidP="00070035">
            <w:pPr>
              <w:jc w:val="center"/>
              <w:rPr>
                <w:sz w:val="20"/>
                <w:szCs w:val="20"/>
              </w:rPr>
            </w:pP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lastRenderedPageBreak/>
              <w:t>21043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Payroll 5-15-2019</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19,943.70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21044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Employees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p>
        </w:tc>
        <w:tc>
          <w:tcPr>
            <w:tcW w:w="1560" w:type="dxa"/>
            <w:tcBorders>
              <w:top w:val="nil"/>
              <w:left w:val="nil"/>
              <w:bottom w:val="nil"/>
              <w:right w:val="nil"/>
            </w:tcBorders>
            <w:shd w:val="clear" w:color="auto" w:fill="auto"/>
            <w:noWrap/>
            <w:hideMark/>
          </w:tcPr>
          <w:p w:rsidR="00070035" w:rsidRPr="00070035" w:rsidRDefault="00070035" w:rsidP="00070035">
            <w:pPr>
              <w:jc w:val="center"/>
              <w:rPr>
                <w:sz w:val="20"/>
                <w:szCs w:val="20"/>
              </w:rPr>
            </w:pP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Payroll 5-30-2019</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17,878.12</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Aflac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475.41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American Legal Publishing Corp</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Code Updates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451.00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Bomgaars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561.97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Eileen Bramer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Reim</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82.28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21069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Bud's Sanitary Service, LLC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4,752.00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Bud's Sanitary Service, LLC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1,165.21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Bud's Sanitary Service, LLC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545.00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Candi Johnson</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Reim</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37.43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Chelsea Gaunt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 Refund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230.88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CHI Health</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CDL Physical Cleveland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77.00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Norfolk</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246.50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LB840 Loan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223.21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 C&amp;D Sinking Fund</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2,000.00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Plainview CDBG Housing</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Housing Grant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21079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City of Plv Housing Authority</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Housing Grant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Classic Rentals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198.02</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Crouch Recreation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Pool Shades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12,775.00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 xml:space="preserve">Curtiss Law Office </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1,250.00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Dd Steel</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333.91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Donna Christiansen</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Reim</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81.83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Electrical Engineering &amp; Equip</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167.49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Electrical System Sinking Fund</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2,000.00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Floor Maintenance</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68.60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Great Plains Communications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43.59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21089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Hawkins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1,873.66</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Hayden Hohnholt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 Refund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145.17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Hometown Leasing</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Copier Lease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241.88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Ingram Library Services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Books/Audiobooks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449.79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Jake Arlt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 Refund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305.54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Jimson Towing, Recovery &amp; Repair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200.00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Kaylene Christensen</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Cleaning 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Mahaska</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55.20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Matheson Tri-Gas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33.84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Menards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39.80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21099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Metering &amp; Technology Solutions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3,072.85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Mitch's Food Center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552.66</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Molly Burns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 Refund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90.60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Municipal Supply Inc of Omaha</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463.34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NDEQ- Fiscal Services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SRF Qtrly 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34,274.63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NE Public Health Env Lab</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15.00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Nikki Mosel</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Reim</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NCPPD</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8,769.49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Northeast Comm College</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CPR Training</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80.00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21109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Old Dominion Brush</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510.04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Pinkelman Truck &amp; Trailer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5,332.16</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Plainview Auto Supply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243.88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Plainview News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Ads/Su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638.50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lastRenderedPageBreak/>
              <w:t>21113</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Plainview Pharmacy</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2.29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21114</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 xml:space="preserve">Plainview Telephone </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Phone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1,272.01</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21115</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 xml:space="preserve">Schaefer Grain </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Weigh Tickets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489.00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21116</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Steinkraus Service</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Fuel</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580.95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21117</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Stephanie Uehling</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Meter Refund</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76.48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21118</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Uline</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61.36</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21119</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Water Tower Bond Acct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Pmt</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2,800.83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21120</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Waterlink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Qtrly 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539.24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21121</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West Hodson Lumber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3,777.37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21122</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Western Oil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Fuel</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669.44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Allied Benefit Services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10,697.66</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Black Hills Energy</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Gas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650.83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Comm Bankers Merch Svc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Credit Card 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324.39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CrashPlan Pro</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9.99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Ebay</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99.47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EFTPS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Fed Tax W/H</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5,802.08</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EFTPS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Fed Tax W/H</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5,072.14</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Family Dollar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21.40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Dearborn Nat'l Life Ins Co</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66.00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Healthplan Services Inc</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Emp Ins</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129.00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In The Swim</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390.00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Kiefer Swim Products</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274.23</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Mass Mutual</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 xml:space="preserve">Pension </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2,425.49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Mass Mutual</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 xml:space="preserve">Pension </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2,425.49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Midwest Bank</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Svc</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50.00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NE Dept of Rev</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State W/H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1,278.17</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NE Dept of Rev</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Sales &amp; Use Tax</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1,576.79</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Postmaster</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Postage</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6.85</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Swimoutlet.com</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560.40</w:t>
            </w:r>
          </w:p>
        </w:tc>
      </w:tr>
      <w:tr w:rsidR="00070035" w:rsidRPr="00070035" w:rsidTr="00070035">
        <w:trPr>
          <w:trHeight w:val="300"/>
        </w:trPr>
        <w:tc>
          <w:tcPr>
            <w:tcW w:w="108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ACH</w:t>
            </w:r>
          </w:p>
        </w:tc>
        <w:tc>
          <w:tcPr>
            <w:tcW w:w="3664"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Wal-Mart</w:t>
            </w:r>
          </w:p>
        </w:tc>
        <w:tc>
          <w:tcPr>
            <w:tcW w:w="2417"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Su</w:t>
            </w:r>
          </w:p>
        </w:tc>
        <w:tc>
          <w:tcPr>
            <w:tcW w:w="1560" w:type="dxa"/>
            <w:tcBorders>
              <w:top w:val="nil"/>
              <w:left w:val="nil"/>
              <w:bottom w:val="nil"/>
              <w:right w:val="nil"/>
            </w:tcBorders>
            <w:shd w:val="clear" w:color="auto" w:fill="auto"/>
            <w:noWrap/>
            <w:hideMark/>
          </w:tcPr>
          <w:p w:rsidR="00070035" w:rsidRPr="00070035" w:rsidRDefault="00070035" w:rsidP="00070035">
            <w:pPr>
              <w:jc w:val="center"/>
              <w:rPr>
                <w:color w:val="000000"/>
              </w:rPr>
            </w:pPr>
            <w:r w:rsidRPr="00070035">
              <w:rPr>
                <w:color w:val="000000"/>
              </w:rPr>
              <w:t>41.67</w:t>
            </w:r>
          </w:p>
        </w:tc>
      </w:tr>
    </w:tbl>
    <w:p w:rsidR="00070035" w:rsidRDefault="00070035"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sectPr w:rsidR="00903A42" w:rsidSect="00C737A6">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1"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6"/>
  </w:num>
  <w:num w:numId="5">
    <w:abstractNumId w:val="43"/>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4"/>
  </w:num>
  <w:num w:numId="14">
    <w:abstractNumId w:val="35"/>
  </w:num>
  <w:num w:numId="15">
    <w:abstractNumId w:val="4"/>
  </w:num>
  <w:num w:numId="16">
    <w:abstractNumId w:val="1"/>
  </w:num>
  <w:num w:numId="17">
    <w:abstractNumId w:val="39"/>
  </w:num>
  <w:num w:numId="18">
    <w:abstractNumId w:val="5"/>
  </w:num>
  <w:num w:numId="19">
    <w:abstractNumId w:val="24"/>
  </w:num>
  <w:num w:numId="20">
    <w:abstractNumId w:val="27"/>
  </w:num>
  <w:num w:numId="21">
    <w:abstractNumId w:val="20"/>
  </w:num>
  <w:num w:numId="22">
    <w:abstractNumId w:val="9"/>
  </w:num>
  <w:num w:numId="23">
    <w:abstractNumId w:val="28"/>
  </w:num>
  <w:num w:numId="24">
    <w:abstractNumId w:val="36"/>
  </w:num>
  <w:num w:numId="25">
    <w:abstractNumId w:val="13"/>
  </w:num>
  <w:num w:numId="26">
    <w:abstractNumId w:val="37"/>
  </w:num>
  <w:num w:numId="27">
    <w:abstractNumId w:val="6"/>
  </w:num>
  <w:num w:numId="28">
    <w:abstractNumId w:val="30"/>
  </w:num>
  <w:num w:numId="29">
    <w:abstractNumId w:val="2"/>
  </w:num>
  <w:num w:numId="30">
    <w:abstractNumId w:val="41"/>
  </w:num>
  <w:num w:numId="31">
    <w:abstractNumId w:val="33"/>
  </w:num>
  <w:num w:numId="32">
    <w:abstractNumId w:val="15"/>
  </w:num>
  <w:num w:numId="33">
    <w:abstractNumId w:val="8"/>
  </w:num>
  <w:num w:numId="34">
    <w:abstractNumId w:val="40"/>
  </w:num>
  <w:num w:numId="35">
    <w:abstractNumId w:val="29"/>
  </w:num>
  <w:num w:numId="36">
    <w:abstractNumId w:val="10"/>
  </w:num>
  <w:num w:numId="37">
    <w:abstractNumId w:val="17"/>
  </w:num>
  <w:num w:numId="38">
    <w:abstractNumId w:val="14"/>
  </w:num>
  <w:num w:numId="39">
    <w:abstractNumId w:val="32"/>
  </w:num>
  <w:num w:numId="40">
    <w:abstractNumId w:val="42"/>
  </w:num>
  <w:num w:numId="41">
    <w:abstractNumId w:val="3"/>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1671"/>
    <w:rsid w:val="00054825"/>
    <w:rsid w:val="00055177"/>
    <w:rsid w:val="00055AE4"/>
    <w:rsid w:val="00062E57"/>
    <w:rsid w:val="00063FBF"/>
    <w:rsid w:val="00070035"/>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6B6B"/>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062C9"/>
    <w:rsid w:val="00210425"/>
    <w:rsid w:val="002109D3"/>
    <w:rsid w:val="00211A58"/>
    <w:rsid w:val="002120F3"/>
    <w:rsid w:val="00215256"/>
    <w:rsid w:val="00215417"/>
    <w:rsid w:val="002202E1"/>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E4F"/>
    <w:rsid w:val="00391A83"/>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97772"/>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267"/>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37A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3F8D4-A6DB-4842-BB40-A4F0CF72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5685</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120</cp:revision>
  <cp:lastPrinted>2019-06-17T15:57:00Z</cp:lastPrinted>
  <dcterms:created xsi:type="dcterms:W3CDTF">2018-06-18T21:32:00Z</dcterms:created>
  <dcterms:modified xsi:type="dcterms:W3CDTF">2019-06-17T15:58:00Z</dcterms:modified>
</cp:coreProperties>
</file>