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CF747B" w:rsidP="00301E00">
      <w:pPr>
        <w:pBdr>
          <w:bottom w:val="dotted" w:sz="24" w:space="1" w:color="auto"/>
        </w:pBdr>
        <w:ind w:left="2880" w:firstLine="720"/>
        <w:rPr>
          <w:b/>
          <w:bCs/>
          <w:color w:val="FF0000"/>
        </w:rPr>
      </w:pPr>
      <w:r>
        <w:rPr>
          <w:b/>
          <w:bCs/>
          <w:color w:val="FF0000"/>
        </w:rPr>
        <w:t>TUESDAY FEBRUARY 13</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City on the 13th day of February</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CF747B">
        <w:t>t, Novicki, Naprstek  Absent: Schlote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AD3482" w:rsidRDefault="00AD3482" w:rsidP="00743CDE"/>
    <w:p w:rsidR="00AD3482" w:rsidRDefault="00AD3482" w:rsidP="00743CDE">
      <w:r>
        <w:t>Novicki moved to pass the amended minutes from the January 9 regular meeting. Naprstek seconded the motion. Motion carried 3-0.</w:t>
      </w:r>
    </w:p>
    <w:p w:rsidR="00AD3482" w:rsidRDefault="00AD3482" w:rsidP="00743CDE"/>
    <w:p w:rsidR="00AD3482" w:rsidRDefault="00AD3482" w:rsidP="00743CDE">
      <w:r>
        <w:t>Novicki moved to pass the minutes of the February 1 special meeting. Cornett seconded the motion. Motion carried 3-0.</w:t>
      </w:r>
    </w:p>
    <w:p w:rsidR="00AD3482" w:rsidRDefault="00AD3482" w:rsidP="00743CDE"/>
    <w:p w:rsidR="00AD3482" w:rsidRDefault="00AD3482" w:rsidP="00743CDE">
      <w:r>
        <w:t>Naprstek moved to approve all claims and payroll. Cornett seconded the motion. Motion carried 3-0.</w:t>
      </w:r>
    </w:p>
    <w:p w:rsidR="00AD3482" w:rsidRDefault="00AD3482" w:rsidP="00743CDE"/>
    <w:p w:rsidR="00AD3482" w:rsidRDefault="003C70A6" w:rsidP="00743CDE">
      <w:r>
        <w:t>Keith Harvey of NCPPD was present to give an update on the rate analysis that is currently being conducted on the electrical system of the city. The pro forma agreement had originally eliminated the city’s ability to utilize emergency genera</w:t>
      </w:r>
      <w:r w:rsidR="004738B3">
        <w:t>tion however discussion with NCPPD’s</w:t>
      </w:r>
      <w:r>
        <w:t xml:space="preserve"> insurance company added the use of generators back to the agreement. Harvey stated that moving forward would be financially beneficial</w:t>
      </w:r>
      <w:r w:rsidR="00C40790">
        <w:t>ly to both the city and NCPPD. A meeting of the NCPPD board will be held on February 26</w:t>
      </w:r>
      <w:r w:rsidR="00C40790" w:rsidRPr="00C40790">
        <w:rPr>
          <w:vertAlign w:val="superscript"/>
        </w:rPr>
        <w:t>th</w:t>
      </w:r>
      <w:r w:rsidR="00C40790">
        <w:t xml:space="preserve"> and council members are encouraged to attend. Council members Novicki and Naprstek were appointed by Mayor Seip to serve on a sub-committee to meet with NCPPD.</w:t>
      </w:r>
    </w:p>
    <w:p w:rsidR="00C40790" w:rsidRDefault="00C40790" w:rsidP="00743CDE"/>
    <w:p w:rsidR="00C40790" w:rsidRDefault="00C40790" w:rsidP="00743CDE">
      <w:r>
        <w:t>Council member Schlote arrived at 7:13 P.M.</w:t>
      </w:r>
    </w:p>
    <w:p w:rsidR="00C40790" w:rsidRDefault="00C40790" w:rsidP="00743CDE"/>
    <w:p w:rsidR="00C40790" w:rsidRDefault="00DB08A9" w:rsidP="00743CDE">
      <w:r>
        <w:t>City Administrator Holton gave on update on employee health insurance for 2018. Holton stated that the current plans had switched from gender and age based to a composite set up. The plan currently held with United Health Care would have had a 39% increase in premiums if continued. The decision was made to move to Aetna which would bring an increase of 22% over the current premium. The new plan has a $3,000 individual deductible and Holton asked that the HSA contribution to the employee be increased from $2,400 annually to $3,000 to help cover the increase in premiums. It was also discussed that those not currently on city insurance would no longer be eligible to receive a stipend in lieu of insurance. The changes to the HSA and stipend would go into effect as of July 1, 2018.</w:t>
      </w:r>
    </w:p>
    <w:p w:rsidR="00DB08A9" w:rsidRDefault="00DB08A9" w:rsidP="00743CDE"/>
    <w:p w:rsidR="00DB08A9" w:rsidRDefault="00DB08A9" w:rsidP="00743CDE">
      <w:r>
        <w:t xml:space="preserve">Cornett moved to approve an increase of $300 </w:t>
      </w:r>
      <w:r w:rsidR="004738B3">
        <w:t xml:space="preserve">semi-annually </w:t>
      </w:r>
      <w:r>
        <w:t>per employee to the HSA and also update the personnel manual to eliminate stipends for those electing to not take city health insurance coverage. Schlote seconded the motion. Motion carried 4-0.</w:t>
      </w:r>
    </w:p>
    <w:p w:rsidR="00DB7B89" w:rsidRDefault="00DB7B89" w:rsidP="00743CDE"/>
    <w:p w:rsidR="00DB7B89" w:rsidRDefault="00DB7B89" w:rsidP="00743CDE">
      <w:r>
        <w:lastRenderedPageBreak/>
        <w:t>Discussion on proposed changes to the monthly trash rates was held. Currently residential rates are $12 monthly but the city has seen a significant increase of tonnage and volume of trash placed out by residents each week. Bud’s Sanitary was present in January to show the totes that would be distributed to all residents.</w:t>
      </w:r>
      <w:r w:rsidR="00940D23">
        <w:t xml:space="preserve"> All trash that is to be picked up by Bud’s will need to be placed inside the tote, any sitting outside would be the responsibility of the homeowner to take to the transfer station. </w:t>
      </w:r>
      <w:r>
        <w:t xml:space="preserve"> The cost of the totes would be passed along to the </w:t>
      </w:r>
      <w:r w:rsidR="00940D23">
        <w:t xml:space="preserve">residents in a $3 monthly increase from $12 to $15. Those requesting a second tote would have a monthly fee of $20 for trash service. A formal resolution will be passed next month to adopt the proposed changes. </w:t>
      </w:r>
    </w:p>
    <w:p w:rsidR="00940D23" w:rsidRDefault="00940D23" w:rsidP="00743CDE"/>
    <w:p w:rsidR="00940D23" w:rsidRDefault="00940D23" w:rsidP="00743CDE">
      <w:r>
        <w:t>The current contract with Bud’s for trash service was bid out with a 5 year term beginning in February of 2016. The cost of the totes to the city will need to be paid back to Bud’s and at the recommendation of the City Attorney a separate contract for payment of the totes will b</w:t>
      </w:r>
      <w:r w:rsidR="00DC293F">
        <w:t xml:space="preserve">e entered into with the city and Bud’s Sanitary. </w:t>
      </w:r>
    </w:p>
    <w:p w:rsidR="00DC293F" w:rsidRDefault="00DC293F" w:rsidP="00743CDE"/>
    <w:p w:rsidR="00DC293F" w:rsidRDefault="00DC293F" w:rsidP="00743CDE">
      <w:r>
        <w:t>Sealed bids were received for the city property at 301 N 2</w:t>
      </w:r>
      <w:r w:rsidRPr="00DC293F">
        <w:rPr>
          <w:vertAlign w:val="superscript"/>
        </w:rPr>
        <w:t>nd</w:t>
      </w:r>
      <w:r>
        <w:t xml:space="preserve"> Street. Chauncey Harrison presented a bid of $10,000 and Greg Wells, Sr. bid $4,510.00. Schlote moved to approve the bid by Harrison for $10,000. Naprstek seconded the motion. Motion carried 4-0. </w:t>
      </w:r>
    </w:p>
    <w:p w:rsidR="00DC293F" w:rsidRDefault="00DC293F" w:rsidP="00743CDE"/>
    <w:p w:rsidR="00DC293F" w:rsidRDefault="00DC293F" w:rsidP="00DC293F">
      <w:r>
        <w:t>Council member Cornett introduced the following resolution and moved for its adoption:</w:t>
      </w:r>
    </w:p>
    <w:p w:rsidR="00DC293F" w:rsidRDefault="00DC293F" w:rsidP="00DC293F"/>
    <w:p w:rsidR="00DC293F" w:rsidRDefault="00DC293F" w:rsidP="00DC293F">
      <w:pPr>
        <w:jc w:val="center"/>
        <w:rPr>
          <w:b/>
        </w:rPr>
      </w:pPr>
      <w:r w:rsidRPr="00DC293F">
        <w:rPr>
          <w:b/>
        </w:rPr>
        <w:t>RESOLUTION #565</w:t>
      </w:r>
    </w:p>
    <w:p w:rsidR="00DC293F" w:rsidRDefault="00DC293F" w:rsidP="00DC293F">
      <w:pPr>
        <w:jc w:val="center"/>
        <w:rPr>
          <w:b/>
        </w:rPr>
      </w:pPr>
    </w:p>
    <w:p w:rsidR="00B94FCF" w:rsidRDefault="00B94FCF" w:rsidP="00DC293F">
      <w:r>
        <w:rPr>
          <w:b/>
        </w:rPr>
        <w:t xml:space="preserve">WHEREAS, </w:t>
      </w:r>
      <w:r>
        <w:t>the State of Nebraska Department of Roads has requested a temporary easement from the City of Plainview, to allow space to develop and improve the pedestrian crossing on Highway 20, just north of King Street, offering compensation of $100.00 to the City for the convenience of using a small easement area in Chilver’s Park;</w:t>
      </w:r>
    </w:p>
    <w:p w:rsidR="00B94FCF" w:rsidRDefault="00B94FCF" w:rsidP="00DC293F"/>
    <w:p w:rsidR="00B94FCF" w:rsidRDefault="00B94FCF" w:rsidP="00DC293F">
      <w:r w:rsidRPr="00B94FCF">
        <w:rPr>
          <w:b/>
        </w:rPr>
        <w:t>AND WHEREAS</w:t>
      </w:r>
      <w:r>
        <w:rPr>
          <w:b/>
        </w:rPr>
        <w:t xml:space="preserve">, </w:t>
      </w:r>
      <w:r>
        <w:t>the offer is in the best interests of the City of Plainview and its residents;</w:t>
      </w:r>
    </w:p>
    <w:p w:rsidR="00B94FCF" w:rsidRDefault="00B94FCF" w:rsidP="00DC293F"/>
    <w:p w:rsidR="00B94FCF" w:rsidRPr="00B94FCF" w:rsidRDefault="00B94FCF" w:rsidP="00DC293F">
      <w:r w:rsidRPr="00B94FCF">
        <w:rPr>
          <w:b/>
        </w:rPr>
        <w:t>NOW THEREFORE BE IT RESOLVED</w:t>
      </w:r>
      <w:r>
        <w:rPr>
          <w:b/>
        </w:rPr>
        <w:t xml:space="preserve">, </w:t>
      </w:r>
      <w:r>
        <w:t xml:space="preserve">that the Mayor and Council of the City of Plainview, does hereby approve the requested temporary easement, and authorizes signature of the necessary documents by the City Administrator. </w:t>
      </w:r>
    </w:p>
    <w:p w:rsidR="00DC293F" w:rsidRDefault="00DC293F" w:rsidP="00743CDE"/>
    <w:p w:rsidR="00DC293F" w:rsidRDefault="00DC293F" w:rsidP="00DC293F">
      <w:r>
        <w:t>Council member Naprstek seconded the foregoing motion and on roll call on the passage and adoption of said resolution, the following voted Aye; Schlote, Novicki, Naprstek, Cornett Nay: None. Whereupon the Mayor declared said motion carried and Resolution #565 is passed and adopted.</w:t>
      </w:r>
    </w:p>
    <w:p w:rsidR="00DC293F" w:rsidRDefault="00DC293F" w:rsidP="00743CDE"/>
    <w:p w:rsidR="00B94FCF" w:rsidRDefault="009746F5" w:rsidP="00B94FCF">
      <w:pPr>
        <w:rPr>
          <w:b/>
        </w:rPr>
      </w:pPr>
      <w:r>
        <w:rPr>
          <w:b/>
        </w:rPr>
        <w:t>At 8:00 P.M.</w:t>
      </w:r>
      <w:r w:rsidR="00B94FCF">
        <w:rPr>
          <w:b/>
        </w:rPr>
        <w:t xml:space="preserve"> Mayor Seip</w:t>
      </w:r>
      <w:r w:rsidR="00B94FCF" w:rsidRPr="00A9565B">
        <w:rPr>
          <w:b/>
        </w:rPr>
        <w:t xml:space="preserve"> opened the Public Hearing on the One and Six Year Road Plan</w:t>
      </w:r>
      <w:r w:rsidR="00B94FCF">
        <w:rPr>
          <w:b/>
        </w:rPr>
        <w:t>.</w:t>
      </w:r>
    </w:p>
    <w:p w:rsidR="009746F5" w:rsidRDefault="009746F5" w:rsidP="00B94FCF">
      <w:pPr>
        <w:rPr>
          <w:b/>
        </w:rPr>
      </w:pPr>
    </w:p>
    <w:p w:rsidR="003C6E9E" w:rsidRDefault="00275CB4" w:rsidP="00B94FCF">
      <w:r>
        <w:t xml:space="preserve">Gary Steele of Miller &amp; Associates was present to discuss the One and Six Year Road Plan </w:t>
      </w:r>
      <w:r w:rsidR="00C8792C">
        <w:t>that was pre</w:t>
      </w:r>
      <w:r w:rsidR="0031798B">
        <w:t xml:space="preserve">pared for the city. </w:t>
      </w:r>
      <w:r w:rsidR="003C6E9E">
        <w:t>Public comments on the cos</w:t>
      </w:r>
      <w:r w:rsidR="004738B3">
        <w:t xml:space="preserve">t of paving </w:t>
      </w:r>
      <w:r w:rsidR="003C6E9E">
        <w:t>were brought up and Steele stated that it wo</w:t>
      </w:r>
      <w:r w:rsidR="004738B3">
        <w:t>uld cost approx</w:t>
      </w:r>
      <w:r w:rsidR="005D06C9">
        <w:t>imately $100,000 per city block depending on curb and gutter.</w:t>
      </w:r>
      <w:r w:rsidR="003C6E9E">
        <w:t xml:space="preserve"> With no further public discussion, </w:t>
      </w:r>
      <w:r w:rsidR="00173D02">
        <w:t xml:space="preserve">Schlote moved to close the </w:t>
      </w:r>
      <w:r w:rsidR="00FF0420">
        <w:t>public hearing at 8:11 P.M. Naprstek seconded the motion. Motion carried 4-0.</w:t>
      </w:r>
    </w:p>
    <w:p w:rsidR="00FF0420" w:rsidRDefault="00FF0420" w:rsidP="00B94FCF"/>
    <w:p w:rsidR="00FF0420" w:rsidRDefault="00FF0420" w:rsidP="00B94FCF">
      <w:r>
        <w:t>Council member Schlote introduced the following resolution and moved for its adoption:</w:t>
      </w:r>
    </w:p>
    <w:p w:rsidR="00FF0420" w:rsidRPr="00FF0420" w:rsidRDefault="00FF0420" w:rsidP="00B94FCF">
      <w:pPr>
        <w:rPr>
          <w:b/>
        </w:rPr>
      </w:pPr>
    </w:p>
    <w:p w:rsidR="00FF0420" w:rsidRDefault="00FF0420" w:rsidP="00FF0420">
      <w:pPr>
        <w:jc w:val="center"/>
        <w:rPr>
          <w:b/>
        </w:rPr>
      </w:pPr>
      <w:r w:rsidRPr="00FF0420">
        <w:rPr>
          <w:b/>
        </w:rPr>
        <w:t>RESOLUTION #564</w:t>
      </w:r>
    </w:p>
    <w:p w:rsidR="00702C0D" w:rsidRDefault="00702C0D" w:rsidP="00FF0420">
      <w:pPr>
        <w:jc w:val="center"/>
        <w:rPr>
          <w:b/>
        </w:rPr>
      </w:pPr>
    </w:p>
    <w:p w:rsidR="00702C0D" w:rsidRDefault="00702C0D" w:rsidP="00702C0D">
      <w:r>
        <w:rPr>
          <w:b/>
        </w:rPr>
        <w:t xml:space="preserve">WHEREAS, </w:t>
      </w:r>
      <w:r>
        <w:t>the City Street Superintendent has prepared and presented a One Year and Six Year Plan for Street Improvement Program for the City of Plainview, and</w:t>
      </w:r>
    </w:p>
    <w:p w:rsidR="00702C0D" w:rsidRDefault="00702C0D" w:rsidP="00702C0D"/>
    <w:p w:rsidR="00702C0D" w:rsidRDefault="00702C0D" w:rsidP="00702C0D">
      <w:r>
        <w:rPr>
          <w:b/>
        </w:rPr>
        <w:t xml:space="preserve">WHEREAS, </w:t>
      </w:r>
      <w:r>
        <w:t>a public meeting was held on the 13</w:t>
      </w:r>
      <w:r w:rsidRPr="00702C0D">
        <w:rPr>
          <w:vertAlign w:val="superscript"/>
        </w:rPr>
        <w:t>th</w:t>
      </w:r>
      <w:r>
        <w:t xml:space="preserve"> day of February 2018 to present this plan and there were no objections to said plan;</w:t>
      </w:r>
    </w:p>
    <w:p w:rsidR="00702C0D" w:rsidRDefault="00702C0D" w:rsidP="00702C0D"/>
    <w:p w:rsidR="00702C0D" w:rsidRPr="00702C0D" w:rsidRDefault="00702C0D" w:rsidP="00702C0D">
      <w:r w:rsidRPr="00702C0D">
        <w:rPr>
          <w:b/>
        </w:rPr>
        <w:t>THEREFORE, BE IT RESOLVED BY THE</w:t>
      </w:r>
      <w:r>
        <w:t xml:space="preserve"> Mayor and City Council of Plainview, Nebraska, that the plans and data as furnished are hereby in all things accepted and adopted.</w:t>
      </w:r>
    </w:p>
    <w:p w:rsidR="00FF0420" w:rsidRDefault="00FF0420" w:rsidP="00FF0420">
      <w:pPr>
        <w:jc w:val="center"/>
        <w:rPr>
          <w:b/>
        </w:rPr>
      </w:pPr>
    </w:p>
    <w:p w:rsidR="00FF0420" w:rsidRDefault="00FF0420" w:rsidP="00FF0420">
      <w:pPr>
        <w:jc w:val="center"/>
        <w:rPr>
          <w:b/>
        </w:rPr>
      </w:pPr>
    </w:p>
    <w:p w:rsidR="00FF0420" w:rsidRDefault="00FF0420" w:rsidP="00FF0420"/>
    <w:p w:rsidR="00FF0420" w:rsidRDefault="00FF0420" w:rsidP="00FF0420">
      <w:pPr>
        <w:pStyle w:val="ListParagraph"/>
        <w:numPr>
          <w:ilvl w:val="0"/>
          <w:numId w:val="21"/>
        </w:numPr>
      </w:pPr>
      <w:r>
        <w:t xml:space="preserve">M493 (46) 2018-2019- Concrete surfacing  of Lincoln Avenue approximately 250 feet east of Main Street to approximately 200 feet west of First Street </w:t>
      </w:r>
      <w:r w:rsidR="00A60617">
        <w:t xml:space="preserve">- </w:t>
      </w:r>
      <w:r>
        <w:t>$250,000</w:t>
      </w:r>
    </w:p>
    <w:p w:rsidR="00FF0420" w:rsidRDefault="00FF0420" w:rsidP="00FF0420">
      <w:pPr>
        <w:pStyle w:val="ListParagraph"/>
        <w:numPr>
          <w:ilvl w:val="0"/>
          <w:numId w:val="21"/>
        </w:numPr>
      </w:pPr>
      <w:r>
        <w:t>M493 (57) FUTURE – Concrete surfacing of Fourth Street from Euclid Avenue to 900 feet north - $236,000</w:t>
      </w:r>
    </w:p>
    <w:p w:rsidR="00FF0420" w:rsidRDefault="00A60617" w:rsidP="00FF0420">
      <w:pPr>
        <w:pStyle w:val="ListParagraph"/>
        <w:numPr>
          <w:ilvl w:val="0"/>
          <w:numId w:val="21"/>
        </w:numPr>
      </w:pPr>
      <w:r>
        <w:t>M493 (55) FUTURE – Concrete surfacing of Pilcher Avenue from Pond Street to Plum Street - $132,000</w:t>
      </w:r>
    </w:p>
    <w:p w:rsidR="00A60617" w:rsidRDefault="00A60617" w:rsidP="00FF0420">
      <w:pPr>
        <w:pStyle w:val="ListParagraph"/>
        <w:numPr>
          <w:ilvl w:val="0"/>
          <w:numId w:val="21"/>
        </w:numPr>
      </w:pPr>
      <w:r>
        <w:t>M493 (35) FUTURE – Concrete surfacing of Euclid Avenue from Second Street to Third Street - $100,000</w:t>
      </w:r>
    </w:p>
    <w:p w:rsidR="00A60617" w:rsidRDefault="00A60617" w:rsidP="00FF0420">
      <w:pPr>
        <w:pStyle w:val="ListParagraph"/>
        <w:numPr>
          <w:ilvl w:val="0"/>
          <w:numId w:val="21"/>
        </w:numPr>
      </w:pPr>
      <w:r>
        <w:t>M493 (38) FUTURE – Concrete surfacing of  Lincoln Avenue from Second Street to Third Street - $100,000</w:t>
      </w:r>
    </w:p>
    <w:p w:rsidR="00A60617" w:rsidRDefault="00A60617" w:rsidP="00FF0420">
      <w:pPr>
        <w:pStyle w:val="ListParagraph"/>
        <w:numPr>
          <w:ilvl w:val="0"/>
          <w:numId w:val="21"/>
        </w:numPr>
      </w:pPr>
      <w:r>
        <w:t>M493 (39) FUTURE – Concrete surfacing of Ellsworth Avenue from Second Street to Third Street - $100,000</w:t>
      </w:r>
    </w:p>
    <w:p w:rsidR="00A60617" w:rsidRDefault="00A60617" w:rsidP="00FF0420">
      <w:pPr>
        <w:pStyle w:val="ListParagraph"/>
        <w:numPr>
          <w:ilvl w:val="0"/>
          <w:numId w:val="21"/>
        </w:numPr>
      </w:pPr>
      <w:r>
        <w:t>M493 (44) FUTURE – Concrete surfacing of Euclid Avenue from Third Street to Fourth Street - $100,000</w:t>
      </w:r>
    </w:p>
    <w:p w:rsidR="00A60617" w:rsidRDefault="00A60617" w:rsidP="00FF0420">
      <w:pPr>
        <w:pStyle w:val="ListParagraph"/>
        <w:numPr>
          <w:ilvl w:val="0"/>
          <w:numId w:val="21"/>
        </w:numPr>
      </w:pPr>
      <w:r>
        <w:t>M493 (45) FUTURE – Concrete surfacing of Lincoln Avenue from Third Street to Fourth Street - $100,000</w:t>
      </w:r>
    </w:p>
    <w:p w:rsidR="00A60617" w:rsidRDefault="00A60617" w:rsidP="00FF0420">
      <w:pPr>
        <w:pStyle w:val="ListParagraph"/>
        <w:numPr>
          <w:ilvl w:val="0"/>
          <w:numId w:val="21"/>
        </w:numPr>
      </w:pPr>
      <w:r>
        <w:t>M493 (48) FUTURE – Concrete surfacing of Ellsworth Avenue from Third Street to Fourth Street - $100,000</w:t>
      </w:r>
    </w:p>
    <w:p w:rsidR="00A60617" w:rsidRDefault="00A60617" w:rsidP="00FF0420">
      <w:pPr>
        <w:pStyle w:val="ListParagraph"/>
        <w:numPr>
          <w:ilvl w:val="0"/>
          <w:numId w:val="21"/>
        </w:numPr>
      </w:pPr>
      <w:r>
        <w:t>M493 (59) FUTURE – Concrete surfacing of Pond Street from Park Avenue to Pilcher Avenue - $101,000</w:t>
      </w:r>
    </w:p>
    <w:p w:rsidR="00A60617" w:rsidRDefault="00A60617" w:rsidP="00FF0420">
      <w:pPr>
        <w:pStyle w:val="ListParagraph"/>
        <w:numPr>
          <w:ilvl w:val="0"/>
          <w:numId w:val="21"/>
        </w:numPr>
      </w:pPr>
      <w:r>
        <w:t>M493 (60) FUTURE – Concrete surfacing of Congress Street from First Street to Second Street - $90,000</w:t>
      </w:r>
    </w:p>
    <w:p w:rsidR="00A60617" w:rsidRDefault="00A60617" w:rsidP="00FF0420">
      <w:pPr>
        <w:pStyle w:val="ListParagraph"/>
        <w:numPr>
          <w:ilvl w:val="0"/>
          <w:numId w:val="21"/>
        </w:numPr>
      </w:pPr>
      <w:r>
        <w:t>M493 (61) FUTURE – Street extension grading of Fifth Street from Euclid Avenue to 450 feet north - $33,000</w:t>
      </w:r>
    </w:p>
    <w:p w:rsidR="00A60617" w:rsidRDefault="00A60617" w:rsidP="00A60617"/>
    <w:p w:rsidR="00A60617" w:rsidRDefault="00A60617" w:rsidP="00A60617"/>
    <w:p w:rsidR="00FF0420" w:rsidRPr="00FF0420" w:rsidRDefault="00FF0420" w:rsidP="00FF0420"/>
    <w:p w:rsidR="00A60617" w:rsidRDefault="00A60617" w:rsidP="00A60617">
      <w:r>
        <w:t>Council member Cornett seconded the foregoing motion and on roll call on the passage and adoption of said resolution, the following voted Aye; Schlote, Novicki, Naprstek, Cornett Nay: None. Whereupon the Mayor declared said motion carried and Resolution #564 is passed and adopted.</w:t>
      </w:r>
    </w:p>
    <w:p w:rsidR="0087295F" w:rsidRDefault="0087295F" w:rsidP="00A60617"/>
    <w:p w:rsidR="0087295F" w:rsidRDefault="005D06C9" w:rsidP="00A60617">
      <w:r>
        <w:t>The Housing Board recommended approval of</w:t>
      </w:r>
      <w:r w:rsidR="0007378E">
        <w:t xml:space="preserve"> housing grant project PLVW-HR-15 of $25,000 with repayments at 2% interest over 20 years</w:t>
      </w:r>
      <w:r>
        <w:t xml:space="preserve"> to the city council.</w:t>
      </w:r>
      <w:r w:rsidR="003D3582">
        <w:t xml:space="preserve"> Naprstek moved to approve the housing loan. Cornett seconded the motion. Motion carried 4-0.</w:t>
      </w:r>
    </w:p>
    <w:p w:rsidR="003D3582" w:rsidRDefault="003D3582" w:rsidP="00A60617"/>
    <w:p w:rsidR="003D3582" w:rsidRDefault="003D3582" w:rsidP="00A60617">
      <w:r>
        <w:t>A claim for housing project PLVW-HR-14 for $5,185.06 to Tore it Up Roofing was also submitted by CDS. Cornett moved to approve the claim. Novicki seconded the motion. Motion carried 4-0.</w:t>
      </w:r>
    </w:p>
    <w:p w:rsidR="003D3582" w:rsidRDefault="003D3582" w:rsidP="00A60617"/>
    <w:p w:rsidR="003D3582" w:rsidRDefault="003D3582" w:rsidP="00A60617">
      <w:r>
        <w:t>City Attorney Curtiss gave an update on the recent auction h</w:t>
      </w:r>
      <w:r w:rsidR="005D06C9">
        <w:t xml:space="preserve">eld for the sale of the Carnegie </w:t>
      </w:r>
      <w:r>
        <w:t>Library. Lindsay Gillespie was the sole bidder and purchased the building for $10,000, which was the minimum price set by the council. Curtiss stated that Gillespie will be closing on the property on February 14</w:t>
      </w:r>
      <w:r w:rsidRPr="003D3582">
        <w:rPr>
          <w:vertAlign w:val="superscript"/>
        </w:rPr>
        <w:t>th</w:t>
      </w:r>
      <w:r>
        <w:t xml:space="preserve">. </w:t>
      </w:r>
    </w:p>
    <w:p w:rsidR="003D3582" w:rsidRDefault="003D3582" w:rsidP="00A60617"/>
    <w:p w:rsidR="004128B9" w:rsidRDefault="003D3582" w:rsidP="00743CDE">
      <w:r>
        <w:t xml:space="preserve">Approval of the council was needed on a boundary change for the Kent and Denise Friedrich property north of town. The county had already approved the change and a meeting of the zoning board also gave approval. </w:t>
      </w:r>
      <w:r w:rsidR="00372B14">
        <w:t>Naprstek moved to approve the boundary change recommendation. Novicki seconded the motion. Motion carried 4-0.</w:t>
      </w:r>
    </w:p>
    <w:p w:rsidR="00372B14" w:rsidRDefault="00372B14" w:rsidP="00743CDE"/>
    <w:p w:rsidR="00196C6F" w:rsidRDefault="00196C6F" w:rsidP="00743CDE"/>
    <w:p w:rsidR="00196C6F" w:rsidRDefault="00196C6F" w:rsidP="00196C6F">
      <w:pPr>
        <w:shd w:val="clear" w:color="auto" w:fill="FFFFFF"/>
        <w:spacing w:line="274" w:lineRule="exact"/>
      </w:pPr>
      <w:r>
        <w:t>Motion was made by Schlote and seconded by Naprstek to approve Ordinance No. 942 on its first reading.  Upon roll call vote, the following members voted AYE:  Cornett, Novicki, Naprstek and Schlote.  The following voted NAY:  None.  Motion carried 4-0.  Whereupon the Mayor declared said Ordinance No. 942 approved on its first reading.</w:t>
      </w:r>
    </w:p>
    <w:p w:rsidR="00196C6F" w:rsidRDefault="00196C6F" w:rsidP="00196C6F">
      <w:pPr>
        <w:shd w:val="clear" w:color="auto" w:fill="FFFFFF"/>
        <w:spacing w:line="274" w:lineRule="exact"/>
      </w:pPr>
    </w:p>
    <w:p w:rsidR="00196C6F" w:rsidRDefault="00196C6F" w:rsidP="00196C6F">
      <w:pPr>
        <w:shd w:val="clear" w:color="auto" w:fill="FFFFFF"/>
        <w:spacing w:line="274" w:lineRule="exact"/>
      </w:pPr>
      <w:r>
        <w:t>It was moved by Schlote, and seconded by Naprstek to approve Ordinance No. 942 on its second and third readings.  Upon roll call vote, the following members voted AYE:  Cornett, Novicki, Naprstek and Schlote.  The following voted NAY:  None.  Motion carried, 4-0.  Whereupon the Mayor declared Ordinance No. 942 approved on its second and third readings.</w:t>
      </w:r>
    </w:p>
    <w:p w:rsidR="00196C6F" w:rsidRDefault="00196C6F" w:rsidP="00196C6F">
      <w:pPr>
        <w:shd w:val="clear" w:color="auto" w:fill="FFFFFF"/>
        <w:spacing w:line="274" w:lineRule="exact"/>
      </w:pPr>
    </w:p>
    <w:p w:rsidR="00196C6F" w:rsidRDefault="00196C6F" w:rsidP="00743CDE"/>
    <w:p w:rsidR="00C35317" w:rsidRDefault="00C35317" w:rsidP="00743CDE">
      <w:pPr>
        <w:rPr>
          <w:b/>
        </w:rPr>
      </w:pPr>
    </w:p>
    <w:p w:rsidR="00C35317" w:rsidRDefault="00C35317" w:rsidP="00C35317">
      <w:pPr>
        <w:jc w:val="center"/>
        <w:rPr>
          <w:b/>
        </w:rPr>
      </w:pPr>
      <w:r>
        <w:rPr>
          <w:b/>
        </w:rPr>
        <w:t>ORDINANCE #942</w:t>
      </w:r>
    </w:p>
    <w:p w:rsidR="00C35317" w:rsidRDefault="00C35317" w:rsidP="00C35317">
      <w:pPr>
        <w:jc w:val="center"/>
        <w:rPr>
          <w:b/>
        </w:rPr>
      </w:pPr>
    </w:p>
    <w:p w:rsidR="00C35317" w:rsidRDefault="00C35317" w:rsidP="00C35317">
      <w:r>
        <w:t>AN ORDINANCE ADOPTING A SUPPLEMENT TO THE CODE OF ORDINANCES FOR THE CITY OF PLAINVIEW, NEBRASKA ADOPTING THE STATE LAW CHANGES MADE BY THE LEGISLATURE WHICH ARE SPECIFIC AND MANDATORY AND NECESSARY TO BRING THE CITY ORDINANCES AND CODE SECTIONS INTO CONFORMITY WITH STATE LAW AND AMENDING RESTATING, REVISING, UPDATING, CODIFYING AND COMPILING CERTAIN ORDINANCES OF THE CITY DEALING WITH THE SUBJECTS EMBRACED IN THE CODE OF ORDINANCES, AND PROVIDING PENALTIES FOR THE VIOLATION OF THE CODE OF ORDINANCES.</w:t>
      </w:r>
    </w:p>
    <w:p w:rsidR="00C35317" w:rsidRDefault="00C35317" w:rsidP="00C35317"/>
    <w:p w:rsidR="00C35317" w:rsidRDefault="00C35317" w:rsidP="00C35317">
      <w:r>
        <w:t>NOW THEREFORE BE IT ORDAINED BY THE MAYOR AND COUNCIL OF THE CITY OF PLAINVIEW, NEBRASKA:</w:t>
      </w:r>
    </w:p>
    <w:p w:rsidR="00144C86" w:rsidRDefault="00144C86" w:rsidP="00C35317"/>
    <w:p w:rsidR="00C35317" w:rsidRDefault="00C35317" w:rsidP="00C35317">
      <w:r w:rsidRPr="00144C86">
        <w:rPr>
          <w:u w:val="single"/>
        </w:rPr>
        <w:t>Section 1</w:t>
      </w:r>
      <w:r w:rsidR="00200AA1">
        <w:rPr>
          <w:u w:val="single"/>
        </w:rPr>
        <w:t>.</w:t>
      </w:r>
      <w:r w:rsidR="00144C86">
        <w:rPr>
          <w:u w:val="single"/>
        </w:rPr>
        <w:t xml:space="preserve"> </w:t>
      </w:r>
      <w:r w:rsidR="00144C86">
        <w:t xml:space="preserve">That the Code of Ordinances of the City of Plainview shall continue in full force and effect and shall hereby adopt and incorporate by reference certain State law changes made by the Legislature which are specific and mandatory and necessary to bring the City Ordinances and Code sections into conformity with State law. </w:t>
      </w:r>
    </w:p>
    <w:p w:rsidR="00144C86" w:rsidRDefault="00144C86" w:rsidP="00C35317"/>
    <w:p w:rsidR="00144C86" w:rsidRDefault="00144C86" w:rsidP="00C35317">
      <w:r w:rsidRPr="00144C86">
        <w:rPr>
          <w:u w:val="single"/>
        </w:rPr>
        <w:t>Section 2</w:t>
      </w:r>
      <w:r w:rsidR="00200AA1">
        <w:rPr>
          <w:u w:val="single"/>
        </w:rPr>
        <w:t>.</w:t>
      </w:r>
      <w:r>
        <w:t xml:space="preserve"> The State law changes identified above affect the following chapters of the City Code of Ordinances:</w:t>
      </w:r>
    </w:p>
    <w:p w:rsidR="00144C86" w:rsidRDefault="00144C86" w:rsidP="00C35317"/>
    <w:p w:rsidR="00144C86" w:rsidRDefault="00144C86" w:rsidP="00144C86">
      <w:pPr>
        <w:pStyle w:val="ListParagraph"/>
        <w:numPr>
          <w:ilvl w:val="0"/>
          <w:numId w:val="22"/>
        </w:numPr>
      </w:pPr>
      <w:r>
        <w:t>To amend §1-101 City Mayor; Powers and Duties</w:t>
      </w:r>
    </w:p>
    <w:p w:rsidR="00144C86" w:rsidRDefault="00144C86" w:rsidP="00144C86">
      <w:pPr>
        <w:pStyle w:val="ListParagraph"/>
        <w:numPr>
          <w:ilvl w:val="0"/>
          <w:numId w:val="22"/>
        </w:numPr>
      </w:pPr>
      <w:r>
        <w:t>To amend §1-607 Ordinances; Publication or Posting</w:t>
      </w:r>
    </w:p>
    <w:p w:rsidR="00144C86" w:rsidRDefault="00144C86" w:rsidP="00144C86">
      <w:pPr>
        <w:pStyle w:val="ListParagraph"/>
        <w:numPr>
          <w:ilvl w:val="0"/>
          <w:numId w:val="22"/>
        </w:numPr>
      </w:pPr>
      <w:r>
        <w:t>To create §1-607.1 Notices; Publication</w:t>
      </w:r>
    </w:p>
    <w:p w:rsidR="00144C86" w:rsidRDefault="00144C86" w:rsidP="00144C86">
      <w:pPr>
        <w:pStyle w:val="ListParagraph"/>
        <w:numPr>
          <w:ilvl w:val="0"/>
          <w:numId w:val="22"/>
        </w:numPr>
      </w:pPr>
      <w:r>
        <w:t>To amend §1-803 Fiscal Management; Proposed Budget Statement; Hearing; Adoption; Certification of Tax Amount</w:t>
      </w:r>
    </w:p>
    <w:p w:rsidR="00144C86" w:rsidRDefault="00144C86" w:rsidP="00144C86">
      <w:pPr>
        <w:pStyle w:val="ListParagraph"/>
        <w:numPr>
          <w:ilvl w:val="0"/>
          <w:numId w:val="22"/>
        </w:numPr>
      </w:pPr>
      <w:r>
        <w:t>To amend §1-804 Fiscal Management; Adopted Budget Statement; Filing; Certification of Amount of Tax</w:t>
      </w:r>
    </w:p>
    <w:p w:rsidR="00144C86" w:rsidRDefault="00144C86" w:rsidP="00144C86">
      <w:pPr>
        <w:pStyle w:val="ListParagraph"/>
        <w:numPr>
          <w:ilvl w:val="0"/>
          <w:numId w:val="22"/>
        </w:numPr>
      </w:pPr>
      <w:r>
        <w:t>To amend §1-813 Fiscal Management; Contracts and Purchases; Bidding and other Requirements</w:t>
      </w:r>
    </w:p>
    <w:p w:rsidR="00144C86" w:rsidRDefault="00144C86" w:rsidP="00144C86">
      <w:pPr>
        <w:pStyle w:val="ListParagraph"/>
        <w:numPr>
          <w:ilvl w:val="0"/>
          <w:numId w:val="22"/>
        </w:numPr>
      </w:pPr>
      <w:r>
        <w:t>To amend §1-825 Fiscal Management; Property Tax Levy; Maximum; Authority to Exceed</w:t>
      </w:r>
    </w:p>
    <w:p w:rsidR="00144C86" w:rsidRDefault="00144C86" w:rsidP="00144C86">
      <w:pPr>
        <w:pStyle w:val="ListParagraph"/>
        <w:numPr>
          <w:ilvl w:val="0"/>
          <w:numId w:val="22"/>
        </w:numPr>
      </w:pPr>
      <w:r>
        <w:t>To amend §2-202 Planning Commission</w:t>
      </w:r>
    </w:p>
    <w:p w:rsidR="00144C86" w:rsidRDefault="00144C86" w:rsidP="00144C86">
      <w:pPr>
        <w:pStyle w:val="ListParagraph"/>
        <w:numPr>
          <w:ilvl w:val="0"/>
          <w:numId w:val="22"/>
        </w:numPr>
      </w:pPr>
      <w:r>
        <w:t>To amend §3-402 Police Department; Arrest and Enforcement Jurisdiction</w:t>
      </w:r>
    </w:p>
    <w:p w:rsidR="00144C86" w:rsidRDefault="00144C86" w:rsidP="00144C86">
      <w:pPr>
        <w:pStyle w:val="ListParagraph"/>
        <w:numPr>
          <w:ilvl w:val="0"/>
          <w:numId w:val="22"/>
        </w:numPr>
      </w:pPr>
      <w:r>
        <w:t xml:space="preserve">To create §5-102.1 Definitions; Department of </w:t>
      </w:r>
      <w:r w:rsidR="00EF42DF">
        <w:t>Transportation</w:t>
      </w:r>
    </w:p>
    <w:p w:rsidR="00144C86" w:rsidRDefault="00144C86" w:rsidP="00144C86">
      <w:pPr>
        <w:pStyle w:val="ListParagraph"/>
        <w:numPr>
          <w:ilvl w:val="0"/>
          <w:numId w:val="22"/>
        </w:numPr>
      </w:pPr>
      <w:r>
        <w:t>To amend §6-337 Weeds. Litter. Stagnant Water</w:t>
      </w:r>
    </w:p>
    <w:p w:rsidR="00144C86" w:rsidRDefault="00144C86" w:rsidP="00144C86">
      <w:pPr>
        <w:pStyle w:val="ListParagraph"/>
        <w:numPr>
          <w:ilvl w:val="0"/>
          <w:numId w:val="22"/>
        </w:numPr>
      </w:pPr>
      <w:r>
        <w:t>To create §6-340.1 Misdemeanors; Unattended Motor Vehicle</w:t>
      </w:r>
    </w:p>
    <w:p w:rsidR="00144C86" w:rsidRDefault="00144C86" w:rsidP="00144C86">
      <w:pPr>
        <w:pStyle w:val="ListParagraph"/>
        <w:numPr>
          <w:ilvl w:val="0"/>
          <w:numId w:val="22"/>
        </w:numPr>
      </w:pPr>
      <w:r>
        <w:t>To amend §8-103 Municipal Property; Sale and Conveyance of Real Property</w:t>
      </w:r>
    </w:p>
    <w:p w:rsidR="00144C86" w:rsidRDefault="00144C86" w:rsidP="00144C86">
      <w:pPr>
        <w:pStyle w:val="ListParagraph"/>
        <w:numPr>
          <w:ilvl w:val="0"/>
          <w:numId w:val="22"/>
        </w:numPr>
      </w:pPr>
      <w:r>
        <w:t>To create §8-309.5 Streets, Alleys, Walks, Malls, and Other Improvements</w:t>
      </w:r>
    </w:p>
    <w:p w:rsidR="00144C86" w:rsidRDefault="00144C86" w:rsidP="00144C86"/>
    <w:p w:rsidR="00144C86" w:rsidRDefault="00144C86" w:rsidP="00144C86">
      <w:r w:rsidRPr="00144C86">
        <w:rPr>
          <w:u w:val="single"/>
        </w:rPr>
        <w:t>Section 3</w:t>
      </w:r>
      <w:r w:rsidR="00200AA1">
        <w:rPr>
          <w:u w:val="single"/>
        </w:rPr>
        <w:t xml:space="preserve">. </w:t>
      </w:r>
      <w:r w:rsidR="00200AA1">
        <w:t>All other portions of the code book not identified in Section 2 herein remain unaffected and shall continue in full force and effect as currently written.</w:t>
      </w:r>
    </w:p>
    <w:p w:rsidR="00200AA1" w:rsidRDefault="00200AA1" w:rsidP="00144C86"/>
    <w:p w:rsidR="00200AA1" w:rsidRDefault="00200AA1" w:rsidP="00144C86">
      <w:r w:rsidRPr="00200AA1">
        <w:rPr>
          <w:u w:val="single"/>
        </w:rPr>
        <w:t>Section 4.</w:t>
      </w:r>
      <w:r>
        <w:rPr>
          <w:u w:val="single"/>
        </w:rPr>
        <w:t xml:space="preserve"> </w:t>
      </w:r>
      <w:r>
        <w:t>All prior ordinances, pertaining to the subjects treated in this supplement to the Code of Ordinances, shall be deemed repealed from and after the effective date of this ordinance except as they are included and re-ordained in whole or in part in this supplement to the Code of Ordinances; provided, this repeal shall not affect any offense committed or penalty incurred or any right established prior to the effective date of this ordinance, nor shall this repeal affect the provisions of ordinances levying taxes, appropriating money, annexing or detaching territory, establishing franchises, or granting special rights to certain persons, authorizing the purchase or sale of real or personal property, granting or accepting easements, plat or dedication of land to public use, vacating or setting the boundaries of streets or other public places; nor shall this repeal affect any other ordinance of a temporary or special nature or pertaining to subjects not contained in or covered by this supplement to the Code of Ordinances.</w:t>
      </w:r>
    </w:p>
    <w:p w:rsidR="00200AA1" w:rsidRDefault="00200AA1" w:rsidP="00144C86"/>
    <w:p w:rsidR="00200AA1" w:rsidRDefault="00200AA1" w:rsidP="00144C86">
      <w:r w:rsidRPr="00200AA1">
        <w:rPr>
          <w:u w:val="single"/>
        </w:rPr>
        <w:t>Section 5.</w:t>
      </w:r>
      <w:r>
        <w:rPr>
          <w:u w:val="single"/>
        </w:rPr>
        <w:t xml:space="preserve"> </w:t>
      </w:r>
      <w:r>
        <w:t xml:space="preserve">This ordinance adopting the supplement to the Code of Ordinances shall be a sufficient publication of any ordinance included in it and not previously published according to law. At least one copy of this supplement to the Code or Ordinances shall be on file in the office of the City Clerk an available for inspection by members of the public during the hours the office is open for the ordinary transaction of business. The Clerk shall file a copy of this supplement to the Code of Ordinances with the County Court. </w:t>
      </w:r>
    </w:p>
    <w:p w:rsidR="00196C6F" w:rsidRDefault="00196C6F" w:rsidP="00144C86"/>
    <w:p w:rsidR="00196C6F" w:rsidRDefault="00196C6F" w:rsidP="00144C86">
      <w:r>
        <w:rPr>
          <w:u w:val="single"/>
        </w:rPr>
        <w:t>Section 6.</w:t>
      </w:r>
      <w:r>
        <w:t xml:space="preserve"> This ordinance adopting this supplement to the Code of Ordinances shall take effect from and after its passage, approval, and publication or posting as required by law. </w:t>
      </w:r>
    </w:p>
    <w:p w:rsidR="00372B14" w:rsidRDefault="00372B14" w:rsidP="00743CDE">
      <w:pPr>
        <w:rPr>
          <w:b/>
        </w:rPr>
      </w:pPr>
    </w:p>
    <w:p w:rsidR="00372B14" w:rsidRDefault="00372B14" w:rsidP="00743CDE">
      <w:r>
        <w:t>Discussion was held on the need for rehab of the bandshell well. This well was previously shut down due to high nitrate levels in December. A new motor and screens would allow the well to pump a higher rate of water, which would eliminate stagnant water and reduce the risk of nitrate levels being elevated. Novicki moved to allow Sargent Drilling to rehab the well. Schlote seconded the motion. Motion carried 4-0.</w:t>
      </w:r>
    </w:p>
    <w:p w:rsidR="00372B14" w:rsidRDefault="00372B14" w:rsidP="00743CDE"/>
    <w:p w:rsidR="00372B14" w:rsidRDefault="00372B14" w:rsidP="00743CDE">
      <w:r>
        <w:t xml:space="preserve">Rental of the farm ground by the C&amp;D, Transfer Station and new lagoon property was discussed. An advertisement for cash rental of the properties would be placed in the paper, with City Superintendent Cederburg suggesting that the C&amp;D land not be included for rental. </w:t>
      </w:r>
      <w:r w:rsidR="000F7932">
        <w:t>Schlote moved to advertise for the transfer station and new lagoon properties for cash rental. Naprstek seconded the motion. Motion carried 4-0.</w:t>
      </w:r>
    </w:p>
    <w:p w:rsidR="000F7932" w:rsidRDefault="000F7932" w:rsidP="00743CDE"/>
    <w:p w:rsidR="000F7932" w:rsidRDefault="000F7932" w:rsidP="00743CDE">
      <w:r>
        <w:t xml:space="preserve">At the request of the council, a discussion on protocols to be used for power outages at the Plainview Manor was held. All were reminded that it is the responsibility of the homeowner or business to call NCPPD directly for any power outages. </w:t>
      </w:r>
    </w:p>
    <w:p w:rsidR="000F7932" w:rsidRDefault="000F7932" w:rsidP="00743CDE"/>
    <w:p w:rsidR="000F7932" w:rsidRDefault="000F7932" w:rsidP="00743CDE">
      <w:r>
        <w:t>No Manor report was given.</w:t>
      </w:r>
    </w:p>
    <w:p w:rsidR="000F7932" w:rsidRDefault="000F7932" w:rsidP="00743CDE"/>
    <w:p w:rsidR="000F7932" w:rsidRDefault="000F7932" w:rsidP="00743CDE">
      <w:r>
        <w:t xml:space="preserve">Police report was given by Chief Yosten. Naprstek questioned the report that was requested to be placed in the paper by the council. Yosten stated he would contact the newspaper as to why the information had not been published yet. A concern on the number of cars around town was held and council would like to make sure that all vehicles are licensed. </w:t>
      </w:r>
    </w:p>
    <w:p w:rsidR="000F7932" w:rsidRDefault="000F7932" w:rsidP="00743CDE"/>
    <w:p w:rsidR="000F7932" w:rsidRDefault="000F7932" w:rsidP="00743CDE">
      <w:r>
        <w:t xml:space="preserve">Susan Norris gave the Economic Development report. Updates on the hardware store, grants for the park equipment and grants for updates to the shelter houses in both parks were given. Norris is exploring joining </w:t>
      </w:r>
      <w:r w:rsidR="0065288F">
        <w:t>together with other towns for housing grant opportunities. A kickoff for ECAP will be held on February 17 at Serendipity at 6:30 and all are invited to attend. Surveys will also be distributed to the community and also in particular to the youth in order to determine what is most needed to help Plainview con</w:t>
      </w:r>
      <w:r w:rsidR="004738B3">
        <w:t xml:space="preserve">tinue to move forward and also encourage young people to return to the community. </w:t>
      </w:r>
    </w:p>
    <w:p w:rsidR="0065288F" w:rsidRDefault="0065288F" w:rsidP="00743CDE"/>
    <w:p w:rsidR="004738B3" w:rsidRDefault="0065288F" w:rsidP="00743CDE">
      <w:r>
        <w:t xml:space="preserve">City Superintendent Cederburg reported that snow removal had gone well and the recycle bins had been delivered. They will be housed in the bay next to the city offices and are awaiting labels before the public is able to utilize them. Cederburg stated that a snow blower attachment was purchased for the skid loader and he was also looking at a bucket loader for the tractor. Cost would be around $6,100. </w:t>
      </w:r>
    </w:p>
    <w:p w:rsidR="004738B3" w:rsidRDefault="004738B3" w:rsidP="00743CDE"/>
    <w:p w:rsidR="0065288F" w:rsidRDefault="0065288F" w:rsidP="00743CDE">
      <w:r>
        <w:t xml:space="preserve">School Superintendent Dr. Arlt thanked the city crew for the great job on removing snow. Arlt also questioned the assembling of the garbage totes by students at the school. </w:t>
      </w:r>
    </w:p>
    <w:p w:rsidR="0065288F" w:rsidRDefault="0065288F" w:rsidP="00743CDE"/>
    <w:p w:rsidR="0065288F" w:rsidRDefault="0065288F" w:rsidP="00743CDE">
      <w:r>
        <w:t xml:space="preserve">City Administrator Holton gave a report on personnel </w:t>
      </w:r>
      <w:r w:rsidR="008C5553">
        <w:t xml:space="preserve">issues that he had handled earlier in the day with Cederburg. Council expressed a concern over how city employees interact with the public and would like to see this addressed with the staff in the future. Holton </w:t>
      </w:r>
      <w:r w:rsidR="009C43B3">
        <w:t xml:space="preserve">also expressed concern over </w:t>
      </w:r>
      <w:bookmarkStart w:id="0" w:name="_GoBack"/>
      <w:bookmarkEnd w:id="0"/>
      <w:r w:rsidR="009C43B3">
        <w:t>recent issues with</w:t>
      </w:r>
      <w:r w:rsidR="008C5553">
        <w:t xml:space="preserve"> the Police Chief and would like the council to look at moving forward with disciplinary actions. The personnel committee will meet to discuss any action that needs to be taken </w:t>
      </w:r>
      <w:r w:rsidR="00146AAF">
        <w:t xml:space="preserve">going forward. </w:t>
      </w:r>
    </w:p>
    <w:p w:rsidR="00146AAF" w:rsidRDefault="00146AAF" w:rsidP="00743CDE"/>
    <w:p w:rsidR="00146AAF" w:rsidRDefault="00146AAF" w:rsidP="00743CDE">
      <w:r>
        <w:t>City Attorney Curtiss stated that he will be meeting with Cederburg on February 21 to finish discussion on the 9</w:t>
      </w:r>
      <w:r w:rsidRPr="00146AAF">
        <w:rPr>
          <w:vertAlign w:val="superscript"/>
        </w:rPr>
        <w:t>th</w:t>
      </w:r>
      <w:r>
        <w:t xml:space="preserve"> Street paving project in order to pay A&amp;R Construction the balance due to them. </w:t>
      </w:r>
    </w:p>
    <w:p w:rsidR="00146AAF" w:rsidRDefault="00146AAF" w:rsidP="00743CDE"/>
    <w:p w:rsidR="00146AAF" w:rsidRDefault="00146AAF" w:rsidP="00743CDE">
      <w:r>
        <w:t xml:space="preserve">Council comments included </w:t>
      </w:r>
      <w:r w:rsidR="004738B3">
        <w:t xml:space="preserve">an </w:t>
      </w:r>
      <w:r>
        <w:t xml:space="preserve">update on the women’s restroom in the community building and a reminder on safety procedures for city crew when moving snow. </w:t>
      </w:r>
    </w:p>
    <w:p w:rsidR="0029689F" w:rsidRDefault="0029689F" w:rsidP="00B52DC4"/>
    <w:p w:rsidR="005E0941" w:rsidRDefault="005E0941" w:rsidP="00583819"/>
    <w:p w:rsidR="00A567D8" w:rsidRDefault="00A567D8" w:rsidP="00743CDE">
      <w:r>
        <w:t xml:space="preserve">It was moved </w:t>
      </w:r>
      <w:r w:rsidR="00830FA8">
        <w:t>by Schlote, seconde</w:t>
      </w:r>
      <w:r w:rsidR="00CF747B">
        <w:t>d by Cornett</w:t>
      </w:r>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CF747B" w:rsidP="00743CDE">
      <w:r>
        <w:t>TIME: 10:33</w:t>
      </w:r>
      <w:r w:rsidR="00CB13CF">
        <w:t xml:space="preserve"> P.M</w:t>
      </w:r>
      <w:r w:rsidR="00E12275">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CF747B">
        <w:t>2/13</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AE3F6F" w:rsidRDefault="00AE3F6F" w:rsidP="00743CDE">
      <w:pPr>
        <w:tabs>
          <w:tab w:val="center" w:pos="4320"/>
          <w:tab w:val="decimal" w:pos="7200"/>
        </w:tabs>
      </w:pPr>
    </w:p>
    <w:p w:rsidR="00AE3F6F" w:rsidRDefault="00AE3F6F" w:rsidP="00743CDE">
      <w:pPr>
        <w:tabs>
          <w:tab w:val="center" w:pos="4320"/>
          <w:tab w:val="decimal" w:pos="7200"/>
        </w:tabs>
      </w:pPr>
    </w:p>
    <w:tbl>
      <w:tblPr>
        <w:tblW w:w="7453" w:type="dxa"/>
        <w:tblLook w:val="04A0" w:firstRow="1" w:lastRow="0" w:firstColumn="1" w:lastColumn="0" w:noHBand="0" w:noVBand="1"/>
      </w:tblPr>
      <w:tblGrid>
        <w:gridCol w:w="816"/>
        <w:gridCol w:w="3810"/>
        <w:gridCol w:w="1863"/>
        <w:gridCol w:w="1176"/>
      </w:tblGrid>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Midwest Bank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Emp H S A Jan-Jun</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12,300.00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Walton Appliance &amp; Repair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8.00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13814</w:t>
            </w:r>
          </w:p>
        </w:tc>
        <w:tc>
          <w:tcPr>
            <w:tcW w:w="3810" w:type="dxa"/>
            <w:tcBorders>
              <w:top w:val="nil"/>
              <w:left w:val="nil"/>
              <w:bottom w:val="nil"/>
              <w:right w:val="nil"/>
            </w:tcBorders>
            <w:shd w:val="clear" w:color="auto" w:fill="auto"/>
            <w:noWrap/>
            <w:hideMark/>
          </w:tcPr>
          <w:p w:rsidR="00EB44E2" w:rsidRPr="00EB44E2" w:rsidRDefault="00EF42DF" w:rsidP="00EB44E2">
            <w:pPr>
              <w:jc w:val="center"/>
              <w:rPr>
                <w:color w:val="000000"/>
              </w:rPr>
            </w:pPr>
            <w:r>
              <w:rPr>
                <w:color w:val="000000"/>
              </w:rPr>
              <w:t>New York Li</w:t>
            </w:r>
            <w:r w:rsidR="00EB44E2" w:rsidRPr="00EB44E2">
              <w:rPr>
                <w:color w:val="000000"/>
              </w:rPr>
              <w:t>fe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141.70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State Treasurer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73.72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Western Oil,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93.33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Mitch's Food Center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242.08</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Verizon Wireless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489.45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13819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N&amp;B Gas 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143.29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Aflac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502.45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L.P. Gill,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12,454.56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Plainview News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510.32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Subway</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16.05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Joe Grof</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Rollie Cederburg </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Reim</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Norfolk Daily News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159.00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Plv/Osm Housing</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42.00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650.00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13829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143.21</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Sales Tax Pool</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5,287.73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Sales Tax Library</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3,045.86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Sales Tax Manor</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3,045.86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Sales Tax Eco Dev</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3,045.86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Omaha World-Herald</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147.68</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 Housing Authority</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252.10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New York Life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141.70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Allied Benefit Systems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12,267.89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13839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Midwest Bank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H S A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13840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Synchrony Bank/Amazon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1,186.92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13841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650.00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13842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Postmaster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Postage</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162.43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 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 Dept of Rev</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State W/H Tax</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1,378.24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 Dept of Rev</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Sales &amp; Use Tax</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7,957.93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 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Black Hills Energy</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2,073.61</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Midwest Bank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Bond 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15,348.75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 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 Child Support Pmt Center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425.00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EFTPS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5,884.69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 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Mass Mutual</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2,417.34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Comm Bankers Merch Svc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773.01</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Mary's Restaurant</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App.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Office Max</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332.15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UnitedHealth Care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12,341.28</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Francotyp-Postalia,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1,000.00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Dearborn National Life Insurance 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58.20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Midwest Bank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NSF Check</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304.00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Midwest Bank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NSF Check</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273.59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Office Max</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106.99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Maverick Labels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103.44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ACH</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Verizon Wireless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169.00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Mass Mutual</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2,417.34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 Child Support Pmt Center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425.00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EFTPS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4,552.80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Apple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4.99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Columbia Sportswear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57.57</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 UC Funds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26.34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Office Max</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33.10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ACH </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CrashPlan Pro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9.99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19639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p>
        </w:tc>
        <w:tc>
          <w:tcPr>
            <w:tcW w:w="1863" w:type="dxa"/>
            <w:tcBorders>
              <w:top w:val="nil"/>
              <w:left w:val="nil"/>
              <w:bottom w:val="nil"/>
              <w:right w:val="nil"/>
            </w:tcBorders>
            <w:shd w:val="clear" w:color="auto" w:fill="auto"/>
            <w:noWrap/>
            <w:hideMark/>
          </w:tcPr>
          <w:p w:rsidR="00EB44E2" w:rsidRPr="00EB44E2" w:rsidRDefault="00EB44E2" w:rsidP="00EB44E2">
            <w:pPr>
              <w:jc w:val="center"/>
              <w:rPr>
                <w:sz w:val="20"/>
                <w:szCs w:val="20"/>
              </w:rPr>
            </w:pPr>
          </w:p>
        </w:tc>
        <w:tc>
          <w:tcPr>
            <w:tcW w:w="1080" w:type="dxa"/>
            <w:tcBorders>
              <w:top w:val="nil"/>
              <w:left w:val="nil"/>
              <w:bottom w:val="nil"/>
              <w:right w:val="nil"/>
            </w:tcBorders>
            <w:shd w:val="clear" w:color="auto" w:fill="auto"/>
            <w:noWrap/>
            <w:hideMark/>
          </w:tcPr>
          <w:p w:rsidR="00EB44E2" w:rsidRPr="00EB44E2" w:rsidRDefault="00EB44E2" w:rsidP="00EB44E2">
            <w:pPr>
              <w:jc w:val="center"/>
              <w:rPr>
                <w:sz w:val="20"/>
                <w:szCs w:val="20"/>
              </w:rPr>
            </w:pP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19647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Thru</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Payroll 1-12-2018</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17,956.57</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19648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p>
        </w:tc>
        <w:tc>
          <w:tcPr>
            <w:tcW w:w="1863" w:type="dxa"/>
            <w:tcBorders>
              <w:top w:val="nil"/>
              <w:left w:val="nil"/>
              <w:bottom w:val="nil"/>
              <w:right w:val="nil"/>
            </w:tcBorders>
            <w:shd w:val="clear" w:color="auto" w:fill="auto"/>
            <w:noWrap/>
            <w:hideMark/>
          </w:tcPr>
          <w:p w:rsidR="00EB44E2" w:rsidRPr="00EB44E2" w:rsidRDefault="00EB44E2" w:rsidP="00EB44E2">
            <w:pPr>
              <w:jc w:val="center"/>
              <w:rPr>
                <w:sz w:val="20"/>
                <w:szCs w:val="20"/>
              </w:rPr>
            </w:pPr>
          </w:p>
        </w:tc>
        <w:tc>
          <w:tcPr>
            <w:tcW w:w="1080" w:type="dxa"/>
            <w:tcBorders>
              <w:top w:val="nil"/>
              <w:left w:val="nil"/>
              <w:bottom w:val="nil"/>
              <w:right w:val="nil"/>
            </w:tcBorders>
            <w:shd w:val="clear" w:color="auto" w:fill="auto"/>
            <w:noWrap/>
            <w:hideMark/>
          </w:tcPr>
          <w:p w:rsidR="00EB44E2" w:rsidRPr="00EB44E2" w:rsidRDefault="00EB44E2" w:rsidP="00EB44E2">
            <w:pPr>
              <w:jc w:val="center"/>
              <w:rPr>
                <w:sz w:val="20"/>
                <w:szCs w:val="20"/>
              </w:rPr>
            </w:pP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19654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Thru</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Payroll 1-30-2018</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15,216.40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19655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 A.M. Signs &amp; Graphics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19656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Aflac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Emp Ins </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502.45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19657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Alegent Creighton Health</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60.00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19658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Alvin Jensen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Reim</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16.45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19659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American Legal Publishing Corp</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119.00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Baum Hydraulics Corp</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202.21</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Bill Bonta</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180.00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Bomgaars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465.34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Bud's Sanitary Service, LLC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4,752.00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Casey's General Stores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2,515.39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Central Valley Ag</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164.94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Norfolk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122.95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6,364.42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Plainview C&amp;D Sinking Fund</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2,000.00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19669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Plv Housing Authority</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111.00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City of Plv Osm/Plv Housing</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51.50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Classic Rentals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296.75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Combined Revenue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3,168.96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Cornhusker International Trucks,Inc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575.00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Credit Bureau Services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210.00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Curt Hart</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Reim</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9.93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Curtiss Law Office, P.C., L.L.O.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Demco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460.02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Department of Energy</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5,806.47</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19679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Donna Christiansen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Reim</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302.80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Doug Pinkelman Painting</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Eakes Office Solutions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167.64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Electrical Engineering &amp; Equip. 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316.55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Electrical System Sinking Fund</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2,000.00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Francotyp-Postalia,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Postage</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165.00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Great Plains Communications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40.69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GreatAmerica Financial Services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143.37</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Hometown Leasing</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86.00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Ingram Library Services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755.50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19689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Kriz-Davis 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2,394.66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L.P. Gill,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11,922.29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Lavern Petersen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165.00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Little Detroit Body Shop</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110.68</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Lutz Embroidery LLC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14.24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Mahaska</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110.40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Matheson Tri-Gas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27.86</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Menards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747.51</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Michael Naprstek</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Midwest Service &amp; Sales 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72.15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19699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Mitch's Food Center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127.92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MEAN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80,981.35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 Public Health Env Lab</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Nebraska Life Magazine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44.00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North Central PPD</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490.00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Northeast Nebraska Clerks Association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One Office Solution</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24.99</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Pierce County Extension/UNL</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Reim</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25.00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Plainview Auto Supply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233.22</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Plainview News</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1,319.73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19709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Plainview Public Post Prom</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Plainview Telephone Co.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1,403.13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 xml:space="preserve">Rueter's </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324.31</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19712</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S&amp;S Express L.L.C.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1,103.20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19713</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Sargent Drilling</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350.00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19714</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Schaefer Grain Co.</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353.30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19715</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State Treasurer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19716</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Steinkraus Service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3,115.75</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19717</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The Farner Co.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34.24</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19718</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The Glass Edge</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Svc</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310.00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19719</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Water Tower Bond Acct</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Pmt</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2,800.83</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19720</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West Hodson Lumber</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993.70</w:t>
            </w:r>
          </w:p>
        </w:tc>
      </w:tr>
      <w:tr w:rsidR="00EB44E2" w:rsidRPr="00EB44E2" w:rsidTr="00EB44E2">
        <w:trPr>
          <w:trHeight w:val="300"/>
        </w:trPr>
        <w:tc>
          <w:tcPr>
            <w:tcW w:w="70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19721</w:t>
            </w:r>
          </w:p>
        </w:tc>
        <w:tc>
          <w:tcPr>
            <w:tcW w:w="381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Western Oil, Inc.</w:t>
            </w:r>
          </w:p>
        </w:tc>
        <w:tc>
          <w:tcPr>
            <w:tcW w:w="1863"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Su</w:t>
            </w:r>
          </w:p>
        </w:tc>
        <w:tc>
          <w:tcPr>
            <w:tcW w:w="1080" w:type="dxa"/>
            <w:tcBorders>
              <w:top w:val="nil"/>
              <w:left w:val="nil"/>
              <w:bottom w:val="nil"/>
              <w:right w:val="nil"/>
            </w:tcBorders>
            <w:shd w:val="clear" w:color="auto" w:fill="auto"/>
            <w:noWrap/>
            <w:hideMark/>
          </w:tcPr>
          <w:p w:rsidR="00EB44E2" w:rsidRPr="00EB44E2" w:rsidRDefault="00EB44E2" w:rsidP="00EB44E2">
            <w:pPr>
              <w:jc w:val="center"/>
              <w:rPr>
                <w:color w:val="000000"/>
              </w:rPr>
            </w:pPr>
            <w:r w:rsidRPr="00EB44E2">
              <w:rPr>
                <w:color w:val="000000"/>
              </w:rPr>
              <w:t>232.94</w:t>
            </w:r>
          </w:p>
        </w:tc>
      </w:tr>
    </w:tbl>
    <w:p w:rsidR="00AE3F6F" w:rsidRPr="001D4CF8" w:rsidRDefault="00AE3F6F" w:rsidP="00743CDE">
      <w:pPr>
        <w:tabs>
          <w:tab w:val="center" w:pos="4320"/>
          <w:tab w:val="decimal" w:pos="7200"/>
        </w:tabs>
      </w:pPr>
    </w:p>
    <w:sectPr w:rsidR="00AE3F6F" w:rsidRPr="001D4CF8" w:rsidSect="00523A21">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16"/>
  </w:num>
  <w:num w:numId="5">
    <w:abstractNumId w:val="21"/>
  </w:num>
  <w:num w:numId="6">
    <w:abstractNumId w:val="4"/>
  </w:num>
  <w:num w:numId="7">
    <w:abstractNumId w:val="6"/>
  </w:num>
  <w:num w:numId="8">
    <w:abstractNumId w:val="0"/>
  </w:num>
  <w:num w:numId="9">
    <w:abstractNumId w:val="9"/>
  </w:num>
  <w:num w:numId="10">
    <w:abstractNumId w:val="15"/>
  </w:num>
  <w:num w:numId="11">
    <w:abstractNumId w:val="11"/>
  </w:num>
  <w:num w:numId="12">
    <w:abstractNumId w:val="13"/>
  </w:num>
  <w:num w:numId="13">
    <w:abstractNumId w:val="18"/>
  </w:num>
  <w:num w:numId="14">
    <w:abstractNumId w:val="19"/>
  </w:num>
  <w:num w:numId="15">
    <w:abstractNumId w:val="2"/>
  </w:num>
  <w:num w:numId="16">
    <w:abstractNumId w:val="1"/>
  </w:num>
  <w:num w:numId="17">
    <w:abstractNumId w:val="20"/>
  </w:num>
  <w:num w:numId="18">
    <w:abstractNumId w:val="3"/>
  </w:num>
  <w:num w:numId="19">
    <w:abstractNumId w:val="14"/>
  </w:num>
  <w:num w:numId="20">
    <w:abstractNumId w:val="17"/>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5CB4"/>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D7E"/>
    <w:rsid w:val="00366878"/>
    <w:rsid w:val="00372B14"/>
    <w:rsid w:val="00381F47"/>
    <w:rsid w:val="00382BF3"/>
    <w:rsid w:val="003838FA"/>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38B3"/>
    <w:rsid w:val="00474484"/>
    <w:rsid w:val="00474F35"/>
    <w:rsid w:val="0047603D"/>
    <w:rsid w:val="00480023"/>
    <w:rsid w:val="00481056"/>
    <w:rsid w:val="004842D3"/>
    <w:rsid w:val="00484B0B"/>
    <w:rsid w:val="00492AFF"/>
    <w:rsid w:val="004948BC"/>
    <w:rsid w:val="004967AB"/>
    <w:rsid w:val="00497687"/>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83819"/>
    <w:rsid w:val="005965F5"/>
    <w:rsid w:val="0059660C"/>
    <w:rsid w:val="005A040A"/>
    <w:rsid w:val="005B24D5"/>
    <w:rsid w:val="005B2659"/>
    <w:rsid w:val="005B280C"/>
    <w:rsid w:val="005B30D2"/>
    <w:rsid w:val="005B5CF0"/>
    <w:rsid w:val="005C0329"/>
    <w:rsid w:val="005C2D83"/>
    <w:rsid w:val="005C3BE0"/>
    <w:rsid w:val="005D03DF"/>
    <w:rsid w:val="005D06C9"/>
    <w:rsid w:val="005D2BF7"/>
    <w:rsid w:val="005D3634"/>
    <w:rsid w:val="005D61FB"/>
    <w:rsid w:val="005E0941"/>
    <w:rsid w:val="005E4B7B"/>
    <w:rsid w:val="005E62C8"/>
    <w:rsid w:val="005F033C"/>
    <w:rsid w:val="005F46BD"/>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9BE"/>
    <w:rsid w:val="006C3C12"/>
    <w:rsid w:val="006C69EE"/>
    <w:rsid w:val="006C6E74"/>
    <w:rsid w:val="006D2D54"/>
    <w:rsid w:val="006D2F95"/>
    <w:rsid w:val="006D569D"/>
    <w:rsid w:val="006E1904"/>
    <w:rsid w:val="006E7AD8"/>
    <w:rsid w:val="006F7E41"/>
    <w:rsid w:val="00702C0D"/>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6FF4"/>
    <w:rsid w:val="00830FA8"/>
    <w:rsid w:val="00836F1F"/>
    <w:rsid w:val="00837C7E"/>
    <w:rsid w:val="0084012C"/>
    <w:rsid w:val="00847EDC"/>
    <w:rsid w:val="0085138A"/>
    <w:rsid w:val="0085452E"/>
    <w:rsid w:val="008624FE"/>
    <w:rsid w:val="008655AE"/>
    <w:rsid w:val="00866025"/>
    <w:rsid w:val="00867CFE"/>
    <w:rsid w:val="0087295F"/>
    <w:rsid w:val="00880140"/>
    <w:rsid w:val="00881D3A"/>
    <w:rsid w:val="00891067"/>
    <w:rsid w:val="008A3AAF"/>
    <w:rsid w:val="008B61C7"/>
    <w:rsid w:val="008C06F1"/>
    <w:rsid w:val="008C0C0D"/>
    <w:rsid w:val="008C27B1"/>
    <w:rsid w:val="008C5553"/>
    <w:rsid w:val="008C5F50"/>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0D23"/>
    <w:rsid w:val="00942BB5"/>
    <w:rsid w:val="009457A9"/>
    <w:rsid w:val="00947CA9"/>
    <w:rsid w:val="00956D06"/>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43B3"/>
    <w:rsid w:val="009C623E"/>
    <w:rsid w:val="009D1855"/>
    <w:rsid w:val="009D7430"/>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3482"/>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7279E"/>
    <w:rsid w:val="00B72DFB"/>
    <w:rsid w:val="00B81791"/>
    <w:rsid w:val="00B82849"/>
    <w:rsid w:val="00B83C00"/>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C00F6A"/>
    <w:rsid w:val="00C0152A"/>
    <w:rsid w:val="00C028B7"/>
    <w:rsid w:val="00C06DD3"/>
    <w:rsid w:val="00C12CF8"/>
    <w:rsid w:val="00C33156"/>
    <w:rsid w:val="00C338A9"/>
    <w:rsid w:val="00C35317"/>
    <w:rsid w:val="00C353DD"/>
    <w:rsid w:val="00C36AC4"/>
    <w:rsid w:val="00C40790"/>
    <w:rsid w:val="00C41964"/>
    <w:rsid w:val="00C41D1E"/>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47B"/>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73E8B"/>
    <w:rsid w:val="00D856C3"/>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44E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ED2"/>
    <w:rsid w:val="00F07917"/>
    <w:rsid w:val="00F12348"/>
    <w:rsid w:val="00F17BA9"/>
    <w:rsid w:val="00F214E0"/>
    <w:rsid w:val="00F228FC"/>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A4336"/>
    <w:rsid w:val="00FA4C74"/>
    <w:rsid w:val="00FA711A"/>
    <w:rsid w:val="00FB2751"/>
    <w:rsid w:val="00FB2D69"/>
    <w:rsid w:val="00FC403E"/>
    <w:rsid w:val="00FD6CA5"/>
    <w:rsid w:val="00FD7F7E"/>
    <w:rsid w:val="00FE1A63"/>
    <w:rsid w:val="00FE793F"/>
    <w:rsid w:val="00FF0420"/>
    <w:rsid w:val="00FF05F7"/>
    <w:rsid w:val="00FF0FC9"/>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D2C58-21E2-4891-90A8-9AED8257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11</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26</cp:revision>
  <cp:lastPrinted>2018-02-20T15:45:00Z</cp:lastPrinted>
  <dcterms:created xsi:type="dcterms:W3CDTF">2017-10-16T17:06:00Z</dcterms:created>
  <dcterms:modified xsi:type="dcterms:W3CDTF">2018-02-20T15:45:00Z</dcterms:modified>
</cp:coreProperties>
</file>