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381F47" w:rsidP="00301E00">
      <w:pPr>
        <w:pBdr>
          <w:bottom w:val="dotted" w:sz="24" w:space="1" w:color="auto"/>
        </w:pBdr>
        <w:ind w:left="2880" w:firstLine="720"/>
        <w:rPr>
          <w:b/>
          <w:bCs/>
          <w:color w:val="FF0000"/>
        </w:rPr>
      </w:pPr>
      <w:r>
        <w:rPr>
          <w:b/>
          <w:bCs/>
          <w:color w:val="FF0000"/>
        </w:rPr>
        <w:t>TUESDAY DECEMB</w:t>
      </w:r>
      <w:r w:rsidR="00E12275">
        <w:rPr>
          <w:b/>
          <w:bCs/>
          <w:color w:val="FF0000"/>
        </w:rPr>
        <w:t>ER 12</w:t>
      </w:r>
      <w:r w:rsidR="005676A3">
        <w:rPr>
          <w:b/>
          <w:bCs/>
          <w:color w:val="FF0000"/>
        </w:rPr>
        <w:t>, 2017</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E12275">
        <w:t xml:space="preserve"> Chambers in said City on the 12th day of December</w:t>
      </w:r>
      <w:r>
        <w:t xml:space="preserve"> at 7:00 o’clock P.M.  </w:t>
      </w:r>
    </w:p>
    <w:p w:rsidR="006102C6" w:rsidRDefault="006102C6" w:rsidP="00505DCB"/>
    <w:p w:rsidR="00505DCB" w:rsidRDefault="006102C6" w:rsidP="00505DCB">
      <w:r>
        <w:t>Roll call was held and p</w:t>
      </w:r>
      <w:r w:rsidR="00505DCB">
        <w:t>resent were: Mayo</w:t>
      </w:r>
      <w:r>
        <w:t xml:space="preserve">r </w:t>
      </w:r>
      <w:proofErr w:type="spellStart"/>
      <w:r>
        <w:t>Seip</w:t>
      </w:r>
      <w:proofErr w:type="spellEnd"/>
      <w:r>
        <w:t>;</w:t>
      </w:r>
      <w:r w:rsidR="0012107A">
        <w:t xml:space="preserve"> Council Members: Cornett, </w:t>
      </w:r>
      <w:proofErr w:type="spellStart"/>
      <w:r w:rsidR="0012107A">
        <w:t>Novicki</w:t>
      </w:r>
      <w:proofErr w:type="spellEnd"/>
      <w:r w:rsidR="0012107A">
        <w:t xml:space="preserve">, </w:t>
      </w:r>
      <w:proofErr w:type="spellStart"/>
      <w:r w:rsidR="0012107A">
        <w:t>Naprstek</w:t>
      </w:r>
      <w:proofErr w:type="spellEnd"/>
      <w:r w:rsidR="0012107A">
        <w:t xml:space="preserve"> and </w:t>
      </w:r>
      <w:proofErr w:type="spellStart"/>
      <w:r w:rsidR="0012107A">
        <w:t>Schlote</w:t>
      </w:r>
      <w:proofErr w:type="spellEnd"/>
      <w:r w:rsidR="0012107A">
        <w:t>.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w:t>
      </w:r>
      <w:proofErr w:type="spellStart"/>
      <w:r>
        <w:t>Seip</w:t>
      </w:r>
      <w:proofErr w:type="spellEnd"/>
      <w:r>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 xml:space="preserve">Courtney </w:t>
      </w:r>
      <w:proofErr w:type="spellStart"/>
      <w:r>
        <w:t>Retzlaff</w:t>
      </w:r>
      <w:proofErr w:type="spellEnd"/>
      <w:r w:rsidR="00743CDE">
        <w:t xml:space="preserve"> was present</w:t>
      </w:r>
      <w:r>
        <w:t xml:space="preserve"> as City Clerk</w:t>
      </w:r>
      <w:r w:rsidR="00743CDE">
        <w:t>.</w:t>
      </w:r>
    </w:p>
    <w:p w:rsidR="00714130" w:rsidRPr="00BB7902" w:rsidRDefault="00714130" w:rsidP="00743CDE">
      <w:r w:rsidRPr="00BB7902">
        <w:t>Bruce Curtiss was present as City Attorney.</w:t>
      </w:r>
    </w:p>
    <w:p w:rsidR="004128B9" w:rsidRPr="00BB7902" w:rsidRDefault="004128B9" w:rsidP="00743CDE"/>
    <w:p w:rsidR="004128B9" w:rsidRDefault="00A617BE" w:rsidP="00743CDE">
      <w:proofErr w:type="spellStart"/>
      <w:r w:rsidRPr="00BB7902">
        <w:t>Schlote</w:t>
      </w:r>
      <w:proofErr w:type="spellEnd"/>
      <w:r w:rsidRPr="00BB7902">
        <w:t xml:space="preserve"> moved to ap</w:t>
      </w:r>
      <w:r w:rsidR="007B5996" w:rsidRPr="00BB7902">
        <w:t>p</w:t>
      </w:r>
      <w:r w:rsidR="006C6E74">
        <w:t>rove t</w:t>
      </w:r>
      <w:r w:rsidR="005F033C">
        <w:t xml:space="preserve">he minutes of the November 20th regular meeting. </w:t>
      </w:r>
      <w:proofErr w:type="spellStart"/>
      <w:r w:rsidR="005F033C">
        <w:t>Naprstek</w:t>
      </w:r>
      <w:proofErr w:type="spellEnd"/>
      <w:r w:rsidRPr="00BB7902">
        <w:t xml:space="preserve"> seconded the motion. Motion ca</w:t>
      </w:r>
      <w:r w:rsidR="0012107A" w:rsidRPr="00BB7902">
        <w:t>rried 4-0.</w:t>
      </w:r>
    </w:p>
    <w:p w:rsidR="007B5996" w:rsidRDefault="007B5996" w:rsidP="00743CDE"/>
    <w:p w:rsidR="007B5996" w:rsidRDefault="006C6E74" w:rsidP="00743CDE">
      <w:proofErr w:type="spellStart"/>
      <w:r>
        <w:t>Naprstek</w:t>
      </w:r>
      <w:proofErr w:type="spellEnd"/>
      <w:r w:rsidR="004138DC">
        <w:t xml:space="preserve"> moved to approve</w:t>
      </w:r>
      <w:r w:rsidR="00A617BE">
        <w:t xml:space="preserve"> claims and payroll</w:t>
      </w:r>
      <w:r w:rsidR="004138DC">
        <w:t xml:space="preserve"> against the city</w:t>
      </w:r>
      <w:r>
        <w:t xml:space="preserve">. </w:t>
      </w:r>
      <w:proofErr w:type="spellStart"/>
      <w:r>
        <w:t>Schlote</w:t>
      </w:r>
      <w:proofErr w:type="spellEnd"/>
      <w:r w:rsidR="00A617BE">
        <w:t xml:space="preserve"> seconded</w:t>
      </w:r>
      <w:r w:rsidR="0012107A">
        <w:t xml:space="preserve"> the motion. </w:t>
      </w:r>
    </w:p>
    <w:p w:rsidR="00A617BE" w:rsidRDefault="0012107A" w:rsidP="00743CDE">
      <w:r>
        <w:t>Motion carried 4-0.</w:t>
      </w:r>
    </w:p>
    <w:p w:rsidR="005F033C" w:rsidRDefault="005F033C" w:rsidP="00743CDE"/>
    <w:p w:rsidR="005F033C" w:rsidRDefault="005F033C" w:rsidP="00743CDE">
      <w:r w:rsidRPr="00EF6982">
        <w:t xml:space="preserve">Manor report was given by </w:t>
      </w:r>
      <w:proofErr w:type="spellStart"/>
      <w:r w:rsidRPr="00EF6982">
        <w:t>Juleen</w:t>
      </w:r>
      <w:proofErr w:type="spellEnd"/>
      <w:r w:rsidRPr="00EF6982">
        <w:t xml:space="preserve"> Johnson who stated that no FEMA money will be awarded for </w:t>
      </w:r>
      <w:r w:rsidR="00EF6982" w:rsidRPr="00EF6982">
        <w:t xml:space="preserve">the generator </w:t>
      </w:r>
      <w:r w:rsidR="00973B20" w:rsidRPr="00EF6982">
        <w:t>but she will be apply</w:t>
      </w:r>
      <w:r w:rsidR="00285A93" w:rsidRPr="00EF6982">
        <w:t>ing for a USDA community grant to assist with t</w:t>
      </w:r>
      <w:r w:rsidR="00EF6982" w:rsidRPr="00EF6982">
        <w:t xml:space="preserve">he project. </w:t>
      </w:r>
    </w:p>
    <w:p w:rsidR="00EF6982" w:rsidRDefault="00EF6982" w:rsidP="00743CDE">
      <w:r>
        <w:t xml:space="preserve">Johnson’s contract as Manor Administrator is up for renewal and discussion was held on salary increase. </w:t>
      </w:r>
      <w:proofErr w:type="spellStart"/>
      <w:r>
        <w:t>Schlote</w:t>
      </w:r>
      <w:proofErr w:type="spellEnd"/>
      <w:r>
        <w:t xml:space="preserve"> moved and </w:t>
      </w:r>
      <w:proofErr w:type="spellStart"/>
      <w:r>
        <w:t>Naprstek</w:t>
      </w:r>
      <w:proofErr w:type="spellEnd"/>
      <w:r>
        <w:t xml:space="preserve"> seconded to approve a 3% raise for Johnson. Motion carried 4-0.</w:t>
      </w:r>
    </w:p>
    <w:p w:rsidR="00EF6982" w:rsidRDefault="00EF6982" w:rsidP="00743CDE"/>
    <w:p w:rsidR="00EF6982" w:rsidRDefault="00EF6982" w:rsidP="00743CDE">
      <w:r>
        <w:t xml:space="preserve">Police Chief </w:t>
      </w:r>
      <w:proofErr w:type="spellStart"/>
      <w:r>
        <w:t>Yosten</w:t>
      </w:r>
      <w:proofErr w:type="spellEnd"/>
      <w:r>
        <w:t xml:space="preserve"> </w:t>
      </w:r>
      <w:r w:rsidR="00176805">
        <w:t xml:space="preserve">continues to work with newspaper to publish a listing of department calls and also gave an update on the purchase of a new vehicle. It was also reported that 7.5 pounds of prescription drugs were collected during the take back event in October and the number of registered dogs has increased this year. </w:t>
      </w:r>
      <w:r w:rsidR="00153842">
        <w:t>A brief discussion was held on a change in curfew hours and City Attorney Curtiss presented th</w:t>
      </w:r>
      <w:r w:rsidR="006D569D">
        <w:t xml:space="preserve">e council with an ordinance to amend the current code. </w:t>
      </w:r>
    </w:p>
    <w:p w:rsidR="00176805" w:rsidRDefault="00176805" w:rsidP="00743CDE"/>
    <w:p w:rsidR="00055177" w:rsidRDefault="00055177" w:rsidP="00055177">
      <w:pPr>
        <w:shd w:val="clear" w:color="auto" w:fill="FFFFFF"/>
        <w:spacing w:line="274" w:lineRule="exact"/>
      </w:pPr>
      <w:r>
        <w:lastRenderedPageBreak/>
        <w:t xml:space="preserve">Motion was made by </w:t>
      </w:r>
      <w:proofErr w:type="spellStart"/>
      <w:r>
        <w:t>Schlote</w:t>
      </w:r>
      <w:proofErr w:type="spellEnd"/>
      <w:r>
        <w:t xml:space="preserve"> and seconded by Cornett to approve Ordinance No. 941 on its first reading.  Upon roll call vote, the following members voted AYE:  Cornett, </w:t>
      </w:r>
      <w:proofErr w:type="spellStart"/>
      <w:r>
        <w:t>Novicki</w:t>
      </w:r>
      <w:proofErr w:type="spellEnd"/>
      <w:r>
        <w:t xml:space="preserve">, </w:t>
      </w:r>
      <w:proofErr w:type="spellStart"/>
      <w:r>
        <w:t>Naprstek</w:t>
      </w:r>
      <w:proofErr w:type="spellEnd"/>
      <w:r>
        <w:t xml:space="preserve"> and </w:t>
      </w:r>
      <w:proofErr w:type="spellStart"/>
      <w:r>
        <w:t>Schlote</w:t>
      </w:r>
      <w:proofErr w:type="spellEnd"/>
      <w:r>
        <w:t>.  The following voted NAY:  None.  Motion carried 4-0.  Whereupon the Mayor declared said Ordinance No. 941 approved on its first reading.</w:t>
      </w:r>
    </w:p>
    <w:p w:rsidR="00055177" w:rsidRDefault="00055177" w:rsidP="00055177">
      <w:pPr>
        <w:shd w:val="clear" w:color="auto" w:fill="FFFFFF"/>
        <w:spacing w:line="274" w:lineRule="exact"/>
      </w:pPr>
    </w:p>
    <w:p w:rsidR="00055177" w:rsidRDefault="00055177" w:rsidP="00055177">
      <w:pPr>
        <w:shd w:val="clear" w:color="auto" w:fill="FFFFFF"/>
        <w:spacing w:line="274" w:lineRule="exact"/>
      </w:pPr>
      <w:r>
        <w:t xml:space="preserve">It was moved by </w:t>
      </w:r>
      <w:proofErr w:type="spellStart"/>
      <w:r>
        <w:t>Schlote</w:t>
      </w:r>
      <w:proofErr w:type="spellEnd"/>
      <w:r>
        <w:t xml:space="preserve">, and seconded by </w:t>
      </w:r>
      <w:proofErr w:type="spellStart"/>
      <w:r>
        <w:t>Naprstek</w:t>
      </w:r>
      <w:proofErr w:type="spellEnd"/>
      <w:r>
        <w:t xml:space="preserve"> to approve Ordinance No. 941 on its second and third readings.  Upon roll call vote, the following members voted AYE:  Cornett, </w:t>
      </w:r>
      <w:proofErr w:type="spellStart"/>
      <w:r>
        <w:t>Novicki</w:t>
      </w:r>
      <w:proofErr w:type="spellEnd"/>
      <w:r>
        <w:t xml:space="preserve">, </w:t>
      </w:r>
      <w:proofErr w:type="spellStart"/>
      <w:r>
        <w:t>Naprstek</w:t>
      </w:r>
      <w:proofErr w:type="spellEnd"/>
      <w:r>
        <w:t xml:space="preserve"> and </w:t>
      </w:r>
      <w:proofErr w:type="spellStart"/>
      <w:r>
        <w:t>Schlote</w:t>
      </w:r>
      <w:proofErr w:type="spellEnd"/>
      <w:r>
        <w:t>.  The following voted NAY:  None.  Motion carried, 4-0.  Whereupon the Mayor declared Ordinance No. 941 approved on its second and third readings.</w:t>
      </w:r>
    </w:p>
    <w:p w:rsidR="00055177" w:rsidRDefault="00055177" w:rsidP="00055177">
      <w:pPr>
        <w:shd w:val="clear" w:color="auto" w:fill="FFFFFF"/>
        <w:spacing w:line="274" w:lineRule="exact"/>
      </w:pPr>
    </w:p>
    <w:p w:rsidR="00055177" w:rsidRPr="00055177" w:rsidRDefault="00055177" w:rsidP="00055177">
      <w:pPr>
        <w:shd w:val="clear" w:color="auto" w:fill="FFFFFF"/>
        <w:spacing w:line="274" w:lineRule="exact"/>
        <w:jc w:val="center"/>
        <w:rPr>
          <w:b/>
        </w:rPr>
      </w:pPr>
      <w:r w:rsidRPr="00055177">
        <w:rPr>
          <w:b/>
        </w:rPr>
        <w:t>ORDINANCE NO. 941</w:t>
      </w:r>
    </w:p>
    <w:p w:rsidR="00176805" w:rsidRDefault="00176805" w:rsidP="00743CDE"/>
    <w:p w:rsidR="00055177" w:rsidRDefault="00055177" w:rsidP="00743CDE">
      <w:r>
        <w:t>AN ORDINANCE TO AMEND THE CURFEW HOURS FOR FIRDAY AND SATURDAY FOR MINORS.</w:t>
      </w:r>
    </w:p>
    <w:p w:rsidR="00055177" w:rsidRDefault="00055177" w:rsidP="00743CDE"/>
    <w:p w:rsidR="00055177" w:rsidRDefault="00055177" w:rsidP="00743CDE">
      <w:r>
        <w:t>NOW THEREFORE BE IT ORDAINCED BY THE MAYOR AND COUNCIL OF THE CITY OF PLAINVIEW, NEBRASKA:</w:t>
      </w:r>
    </w:p>
    <w:p w:rsidR="00055177" w:rsidRDefault="00055177" w:rsidP="00743CDE"/>
    <w:p w:rsidR="00055177" w:rsidRDefault="00055177" w:rsidP="00743CDE">
      <w:r w:rsidRPr="006D569D">
        <w:rPr>
          <w:u w:val="single"/>
        </w:rPr>
        <w:t>Section 1.</w:t>
      </w:r>
      <w:r>
        <w:t xml:space="preserve"> That Chapter 6, Section 342 of the Municipal Code of Plainview, Nebraska, be amended to read as follows:</w:t>
      </w:r>
    </w:p>
    <w:p w:rsidR="00055177" w:rsidRDefault="00055177" w:rsidP="00743CDE"/>
    <w:p w:rsidR="00055177" w:rsidRPr="006D569D" w:rsidRDefault="00C84840" w:rsidP="00743CDE">
      <w:pPr>
        <w:rPr>
          <w:b/>
          <w:u w:val="single"/>
        </w:rPr>
      </w:pPr>
      <w:r>
        <w:rPr>
          <w:b/>
          <w:u w:val="single"/>
        </w:rPr>
        <w:t xml:space="preserve">§ </w:t>
      </w:r>
      <w:r w:rsidR="00153842" w:rsidRPr="006D569D">
        <w:rPr>
          <w:b/>
          <w:u w:val="single"/>
        </w:rPr>
        <w:t>6-342 MISDEMEANORS; CURFEW.</w:t>
      </w:r>
    </w:p>
    <w:p w:rsidR="00153842" w:rsidRDefault="00153842" w:rsidP="00743CDE"/>
    <w:p w:rsidR="00153842" w:rsidRDefault="00153842" w:rsidP="00743CDE">
      <w:r>
        <w:tab/>
        <w:t xml:space="preserve">It shall be unlawful </w:t>
      </w:r>
      <w:r w:rsidR="006D569D">
        <w:t xml:space="preserve">for any minor under the age of eighteen (18) years to ride in or operate any vehicle in or upon any street, alley, or other public place, or to loiter, wander, stroll, loaf, or play in or upon any of the streets, alleys, or other public places between the hours of eleven (11:00) o’clock P.M. of any day and six (6:00) A.M. of the following day except Friday and Saturday when said hours shall be between twelve (12:00) o’clock Midnight and six (6:00) o’clock A.M. unless accompanied by a parent, guardian or other adult person having the care, custody or control of said minor, or the minor is engaged in lawful employment or is on an emergency errand; provided, when an activity of the kind normally attended by minor under eighteen (18) year terminates after or less than one (1) hour after the termination of such activity. </w:t>
      </w:r>
    </w:p>
    <w:p w:rsidR="006D569D" w:rsidRDefault="006D569D" w:rsidP="00743CDE"/>
    <w:p w:rsidR="006D569D" w:rsidRDefault="006D569D" w:rsidP="00743CDE">
      <w:r w:rsidRPr="006D569D">
        <w:rPr>
          <w:u w:val="single"/>
        </w:rPr>
        <w:t>Section 2</w:t>
      </w:r>
      <w:r>
        <w:t>. That any ordinances passed and approved prior to the passage, approval, and publication or posting of this ordinance and in conflict with its provisions, is hereby repealed.</w:t>
      </w:r>
    </w:p>
    <w:p w:rsidR="006D569D" w:rsidRDefault="006D569D" w:rsidP="00743CDE"/>
    <w:p w:rsidR="006D569D" w:rsidRDefault="006D569D" w:rsidP="00743CDE">
      <w:r w:rsidRPr="006D569D">
        <w:rPr>
          <w:u w:val="single"/>
        </w:rPr>
        <w:t>Section 3</w:t>
      </w:r>
      <w:r>
        <w:t xml:space="preserve">. This ordinance shall take effect and be in full force from and after its passage, approval, and publication or posting as required by law. </w:t>
      </w:r>
    </w:p>
    <w:p w:rsidR="001826D6" w:rsidRDefault="001826D6" w:rsidP="00743CDE"/>
    <w:p w:rsidR="001826D6" w:rsidRDefault="001826D6" w:rsidP="00743CDE">
      <w:r>
        <w:t>Economic Development dir</w:t>
      </w:r>
      <w:r w:rsidR="005965F5">
        <w:t>ector Susan Norris gave updates on the future of a hardware store in Plainview, the sale of vacant lots in town</w:t>
      </w:r>
      <w:r w:rsidR="00107072">
        <w:t xml:space="preserve"> and a review of the ECAP meeting held in November. Norri</w:t>
      </w:r>
      <w:r w:rsidR="007F4AC9">
        <w:t>s also stated that she had talked</w:t>
      </w:r>
      <w:r w:rsidR="00107072">
        <w:t xml:space="preserve"> to City Administrator Holton about moving the city strategic plan time frame to 1-2 yea</w:t>
      </w:r>
      <w:r w:rsidR="00381F47">
        <w:t>rs from the 5-10 years that was</w:t>
      </w:r>
      <w:r w:rsidR="00107072">
        <w:t xml:space="preserve"> typically followed in the past. It was also stated that the Park Board had sent out donation letters to raise the matching funds need</w:t>
      </w:r>
      <w:r w:rsidR="00381F47">
        <w:t>ed</w:t>
      </w:r>
      <w:r w:rsidR="00107072">
        <w:t xml:space="preserve"> for the purchase of new equipment. </w:t>
      </w:r>
    </w:p>
    <w:p w:rsidR="00107072" w:rsidRDefault="00107072" w:rsidP="00743CDE"/>
    <w:p w:rsidR="00107072" w:rsidRDefault="007F4AC9" w:rsidP="00743CDE">
      <w:r>
        <w:t xml:space="preserve">Josh </w:t>
      </w:r>
      <w:proofErr w:type="spellStart"/>
      <w:r>
        <w:t>Sirek</w:t>
      </w:r>
      <w:proofErr w:type="spellEnd"/>
      <w:r>
        <w:t xml:space="preserve"> of Town &amp; Country Insurance presented on the new rates for employee health insurance in 2018. There was a considerable rate increase across the board and </w:t>
      </w:r>
      <w:proofErr w:type="spellStart"/>
      <w:r>
        <w:t>Sirek</w:t>
      </w:r>
      <w:proofErr w:type="spellEnd"/>
      <w:r>
        <w:t xml:space="preserve"> will be working with Holton and City Clerk </w:t>
      </w:r>
      <w:proofErr w:type="spellStart"/>
      <w:r>
        <w:t>Retzlaff</w:t>
      </w:r>
      <w:proofErr w:type="spellEnd"/>
      <w:r>
        <w:t xml:space="preserve"> on different options from Blue Cross Blue Shield and United Health Care and also the possibility of self-funded plans. The council will approve a plan at the January meeting for coverage to begin February 1, 2018.</w:t>
      </w:r>
    </w:p>
    <w:p w:rsidR="007F4AC9" w:rsidRDefault="007F4AC9" w:rsidP="00743CDE"/>
    <w:p w:rsidR="007F4AC9" w:rsidRDefault="007F4AC9" w:rsidP="00743CDE">
      <w:r>
        <w:t xml:space="preserve">The use of the community building by the RC&amp;D was discussed with Dennis Wacker present to answer questions in regards to what requirements the RC&amp;D would need for their programs and supplies. </w:t>
      </w:r>
      <w:r w:rsidR="002A02DA">
        <w:t xml:space="preserve">Discussion on moving the council meetings to the library and the current use of the community building by other outside groups was held. </w:t>
      </w:r>
      <w:proofErr w:type="spellStart"/>
      <w:r w:rsidR="002A02DA">
        <w:t>Naprstek</w:t>
      </w:r>
      <w:proofErr w:type="spellEnd"/>
      <w:r w:rsidR="002A02DA">
        <w:t xml:space="preserve"> would like the see the cost involved for adding an office area inside. Holton and Wacker will work together to bring costs back to the council at the next regular meeting.</w:t>
      </w:r>
    </w:p>
    <w:p w:rsidR="002A02DA" w:rsidRDefault="002A02DA" w:rsidP="00743CDE"/>
    <w:p w:rsidR="002A02DA" w:rsidRDefault="002A02DA" w:rsidP="00743CDE">
      <w:r>
        <w:t xml:space="preserve">Grant </w:t>
      </w:r>
      <w:proofErr w:type="spellStart"/>
      <w:r>
        <w:t>Dummer</w:t>
      </w:r>
      <w:proofErr w:type="spellEnd"/>
      <w:r>
        <w:t xml:space="preserve"> and Blake </w:t>
      </w:r>
      <w:proofErr w:type="spellStart"/>
      <w:r>
        <w:t>Nincehelser</w:t>
      </w:r>
      <w:proofErr w:type="spellEnd"/>
      <w:r>
        <w:t xml:space="preserve"> from Plainview Telephone presented on a surveillance system to monitor the city offices. A 16 channel NVR with 8 cameras and ability for 16 cameras total, 2 indoor wedge cameras and 6 bullet cameras </w:t>
      </w:r>
      <w:r w:rsidR="00A71E89">
        <w:t xml:space="preserve">would be leased to the city for $229 month for 60 months. Cameras would be installed in the front office, equipment building and to monitor all outside entrances in all buildings. </w:t>
      </w:r>
      <w:proofErr w:type="spellStart"/>
      <w:r w:rsidR="00A71E89">
        <w:t>Schlote</w:t>
      </w:r>
      <w:proofErr w:type="spellEnd"/>
      <w:r w:rsidR="00A71E89">
        <w:t xml:space="preserve"> moved to accept the proposed system lease from Plainview Telephone for cameras. </w:t>
      </w:r>
      <w:proofErr w:type="spellStart"/>
      <w:r w:rsidR="00A71E89">
        <w:t>Naprstek</w:t>
      </w:r>
      <w:proofErr w:type="spellEnd"/>
      <w:r w:rsidR="00A71E89">
        <w:t xml:space="preserve"> seconded the motion. Motion carried 4-0.</w:t>
      </w:r>
    </w:p>
    <w:p w:rsidR="00A71E89" w:rsidRDefault="00A71E89" w:rsidP="00743CDE"/>
    <w:p w:rsidR="00A71E89" w:rsidRDefault="00A71E89" w:rsidP="00743CDE">
      <w:r>
        <w:t xml:space="preserve">A follow-up to the grant writing services contract for Susan Norris presented to the council at the November meeting was held and </w:t>
      </w:r>
      <w:proofErr w:type="spellStart"/>
      <w:r>
        <w:t>Novicki</w:t>
      </w:r>
      <w:proofErr w:type="spellEnd"/>
      <w:r>
        <w:t xml:space="preserve"> moved to accept the contract with reviews to be held annually for continuation. Cornett seconded the motion. Motion carried 4-0.</w:t>
      </w:r>
    </w:p>
    <w:p w:rsidR="00A71E89" w:rsidRDefault="00A71E89" w:rsidP="00743CDE"/>
    <w:p w:rsidR="00A71E89" w:rsidRDefault="00A71E89" w:rsidP="00743CDE">
      <w:r>
        <w:t xml:space="preserve">The appointment of the 2018 City Engineer and Street Superintendent was briefly discussed as paperwork had been received from JEO Consulting, Inc., which currently supplies these services to the city. Holton had visited with Miller &amp; Associates the previous week and will be receiving contracts from them to discuss at the January meeting. Cornett moved to table both appointments to the January meeting. </w:t>
      </w:r>
      <w:proofErr w:type="spellStart"/>
      <w:r>
        <w:t>Naprstek</w:t>
      </w:r>
      <w:proofErr w:type="spellEnd"/>
      <w:r>
        <w:t xml:space="preserve"> seconded the motion. Motion carried 4-0.</w:t>
      </w:r>
    </w:p>
    <w:p w:rsidR="00B52DC4" w:rsidRDefault="00B52DC4" w:rsidP="00743CDE"/>
    <w:p w:rsidR="00B52DC4" w:rsidRDefault="00B52DC4" w:rsidP="00B52DC4">
      <w:r>
        <w:t xml:space="preserve">Council member </w:t>
      </w:r>
      <w:proofErr w:type="spellStart"/>
      <w:r>
        <w:t>Naprstek</w:t>
      </w:r>
      <w:proofErr w:type="spellEnd"/>
      <w:r>
        <w:t xml:space="preserve"> introduced the following resolution and moved for its adoption:</w:t>
      </w:r>
    </w:p>
    <w:p w:rsidR="00AE3F6F" w:rsidRDefault="00AE3F6F" w:rsidP="00B52DC4"/>
    <w:p w:rsidR="00AE3F6F" w:rsidRDefault="00AE3F6F" w:rsidP="00B52DC4"/>
    <w:p w:rsidR="00B52DC4" w:rsidRDefault="00B52DC4" w:rsidP="00B52DC4">
      <w:pPr>
        <w:jc w:val="center"/>
        <w:rPr>
          <w:b/>
        </w:rPr>
      </w:pPr>
      <w:r w:rsidRPr="00B52DC4">
        <w:rPr>
          <w:b/>
        </w:rPr>
        <w:t>RESOLUTION #562</w:t>
      </w:r>
    </w:p>
    <w:p w:rsidR="00B52DC4" w:rsidRPr="00B52DC4" w:rsidRDefault="00B52DC4" w:rsidP="00B52DC4">
      <w:pPr>
        <w:jc w:val="center"/>
        <w:rPr>
          <w:b/>
        </w:rPr>
      </w:pPr>
    </w:p>
    <w:p w:rsidR="00B52DC4" w:rsidRDefault="00B52DC4" w:rsidP="00B52DC4">
      <w:r>
        <w:rPr>
          <w:b/>
        </w:rPr>
        <w:t xml:space="preserve">WHEREAS, </w:t>
      </w:r>
      <w:r>
        <w:t xml:space="preserve">the City of Plainview, Nebraska, is in the need of a semi-truck for the transfer station, and </w:t>
      </w:r>
    </w:p>
    <w:p w:rsidR="00B52DC4" w:rsidRDefault="00B52DC4" w:rsidP="00B52DC4"/>
    <w:p w:rsidR="00B52DC4" w:rsidRDefault="00B52DC4" w:rsidP="00B52DC4">
      <w:r>
        <w:rPr>
          <w:b/>
        </w:rPr>
        <w:t xml:space="preserve">WHEREAS, </w:t>
      </w:r>
      <w:r>
        <w:t>that purchase will require payment from the Municipal General Fund;</w:t>
      </w:r>
    </w:p>
    <w:p w:rsidR="00B52DC4" w:rsidRPr="0029689F" w:rsidRDefault="00B52DC4" w:rsidP="00B52DC4">
      <w:pPr>
        <w:rPr>
          <w:b/>
        </w:rPr>
      </w:pPr>
    </w:p>
    <w:p w:rsidR="00B52DC4" w:rsidRDefault="0029689F" w:rsidP="00B52DC4">
      <w:r w:rsidRPr="0029689F">
        <w:rPr>
          <w:b/>
        </w:rPr>
        <w:t>NOW THEREFORE BE IT RESOLVED</w:t>
      </w:r>
      <w:r>
        <w:t>, BY THE MAYOR AND COUNCIL OF THE CITY OF PLAINVIEW, NEBRASKA, THAT:</w:t>
      </w:r>
    </w:p>
    <w:p w:rsidR="0029689F" w:rsidRDefault="0029689F" w:rsidP="00B52DC4"/>
    <w:p w:rsidR="0029689F" w:rsidRDefault="0029689F" w:rsidP="0029689F">
      <w:pPr>
        <w:pStyle w:val="ListParagraph"/>
        <w:numPr>
          <w:ilvl w:val="0"/>
          <w:numId w:val="17"/>
        </w:numPr>
      </w:pPr>
      <w:r>
        <w:t xml:space="preserve">The City of Plainview, by, and through its Administration, is hereby authorized to purchase a White 2008 International 9200I Semi, Serial #2HSCEAPR58C648857 from </w:t>
      </w:r>
      <w:proofErr w:type="spellStart"/>
      <w:r>
        <w:t>Dolezal</w:t>
      </w:r>
      <w:proofErr w:type="spellEnd"/>
      <w:r>
        <w:t xml:space="preserve"> Parts Accessories Trucks &amp; Equipment, LLC, and pay the same, in a sum not to exceed $32,300.00, out of the Municipal General Fund.</w:t>
      </w:r>
    </w:p>
    <w:p w:rsidR="0029689F" w:rsidRDefault="0029689F" w:rsidP="0029689F"/>
    <w:p w:rsidR="0029689F" w:rsidRDefault="0029689F" w:rsidP="0029689F">
      <w:pPr>
        <w:pStyle w:val="ListParagraph"/>
        <w:numPr>
          <w:ilvl w:val="0"/>
          <w:numId w:val="17"/>
        </w:numPr>
      </w:pPr>
      <w:r>
        <w:t>A copy of this resolution shall be taken and accepted of evidence of the authority of such purchase.</w:t>
      </w:r>
    </w:p>
    <w:p w:rsidR="0029689F" w:rsidRPr="00B52DC4" w:rsidRDefault="0029689F" w:rsidP="0029689F"/>
    <w:p w:rsidR="00B52DC4" w:rsidRDefault="00B52DC4" w:rsidP="00B52DC4">
      <w:r>
        <w:t xml:space="preserve">Council member Cornett seconded the foregoing motion and on roll call on the passage and adoption of said resolution, the following voted Aye; </w:t>
      </w:r>
      <w:proofErr w:type="spellStart"/>
      <w:r>
        <w:t>Schlote</w:t>
      </w:r>
      <w:proofErr w:type="spellEnd"/>
      <w:r>
        <w:t xml:space="preserve">, </w:t>
      </w:r>
      <w:proofErr w:type="spellStart"/>
      <w:r>
        <w:t>Novicki</w:t>
      </w:r>
      <w:proofErr w:type="spellEnd"/>
      <w:r>
        <w:t xml:space="preserve">, </w:t>
      </w:r>
      <w:proofErr w:type="spellStart"/>
      <w:r>
        <w:t>Naprstek,Cornett</w:t>
      </w:r>
      <w:proofErr w:type="spellEnd"/>
      <w:r>
        <w:t xml:space="preserve"> Nay: None. Whereupon the Mayor declared said motion carried and Resolution #562 is passed and adopted.</w:t>
      </w:r>
    </w:p>
    <w:p w:rsidR="0029689F" w:rsidRDefault="0029689F" w:rsidP="00B52DC4"/>
    <w:p w:rsidR="0029689F" w:rsidRDefault="0029689F" w:rsidP="00B52DC4">
      <w:r>
        <w:t xml:space="preserve">City Superintendent </w:t>
      </w:r>
      <w:proofErr w:type="spellStart"/>
      <w:r w:rsidR="004B457C">
        <w:t>Cederburg</w:t>
      </w:r>
      <w:proofErr w:type="spellEnd"/>
      <w:r w:rsidR="004B457C">
        <w:t xml:space="preserve"> presented 4 bids to the council for a new transfer station trailer. After discussion the council agreed to purchase a trailer from Wilkens Industries, Inc. in Morris, MN at a cost of $68,900. Total build time would be 150 days from the order placement. </w:t>
      </w:r>
      <w:proofErr w:type="spellStart"/>
      <w:r w:rsidR="004B457C">
        <w:t>Schlote</w:t>
      </w:r>
      <w:proofErr w:type="spellEnd"/>
      <w:r w:rsidR="004B457C">
        <w:t xml:space="preserve"> motioned to approve purchase of the Wilkens trailer. </w:t>
      </w:r>
      <w:proofErr w:type="spellStart"/>
      <w:r w:rsidR="004B457C">
        <w:t>Novicki</w:t>
      </w:r>
      <w:proofErr w:type="spellEnd"/>
      <w:r w:rsidR="004B457C">
        <w:t xml:space="preserve"> seconded the motion. Motion carried 4-0.</w:t>
      </w:r>
    </w:p>
    <w:p w:rsidR="004B457C" w:rsidRDefault="004B457C" w:rsidP="00B52DC4"/>
    <w:p w:rsidR="004B457C" w:rsidRDefault="004B457C" w:rsidP="00B52DC4">
      <w:proofErr w:type="spellStart"/>
      <w:r>
        <w:t>Cederburg</w:t>
      </w:r>
      <w:proofErr w:type="spellEnd"/>
      <w:r>
        <w:t xml:space="preserve"> also gave his monthly report</w:t>
      </w:r>
      <w:r w:rsidR="000432C0">
        <w:t xml:space="preserve"> and stated that the power outage agreement with NCPPD continues to work well. </w:t>
      </w:r>
      <w:proofErr w:type="spellStart"/>
      <w:r w:rsidR="000432C0">
        <w:t>Novicki</w:t>
      </w:r>
      <w:proofErr w:type="spellEnd"/>
      <w:r w:rsidR="000432C0">
        <w:t xml:space="preserve"> asked that </w:t>
      </w:r>
      <w:proofErr w:type="spellStart"/>
      <w:r w:rsidR="000432C0">
        <w:t>Cederburg</w:t>
      </w:r>
      <w:proofErr w:type="spellEnd"/>
      <w:r w:rsidR="000432C0">
        <w:t xml:space="preserve"> purchase handheld spotlights for all utility department trucks to utilize as necessary. </w:t>
      </w:r>
    </w:p>
    <w:p w:rsidR="000432C0" w:rsidRDefault="000432C0" w:rsidP="00B52DC4"/>
    <w:p w:rsidR="000432C0" w:rsidRDefault="000432C0" w:rsidP="00B52DC4">
      <w:r>
        <w:t xml:space="preserve">Discussion was held on the property at 112 S Elm and the future of the existing house. </w:t>
      </w:r>
      <w:r w:rsidR="004967AB">
        <w:t xml:space="preserve">The city staff was questioned about the possible purchase of the house to renovate. </w:t>
      </w:r>
      <w:r>
        <w:t xml:space="preserve">Curtiss had been in contact with the County Attorney for clarification of the tax title status. </w:t>
      </w:r>
      <w:r w:rsidR="00984981">
        <w:t>The unattached garage on the property had previously been deemed an unsafe building. Holton was asked to check that proper procedure is followed in order for th</w:t>
      </w:r>
      <w:r w:rsidR="0090112C">
        <w:t>e city to demolish the garage</w:t>
      </w:r>
      <w:bookmarkStart w:id="0" w:name="_GoBack"/>
      <w:bookmarkEnd w:id="0"/>
      <w:r w:rsidR="00984981">
        <w:t xml:space="preserve">. </w:t>
      </w:r>
    </w:p>
    <w:p w:rsidR="00984981" w:rsidRDefault="00984981" w:rsidP="00B52DC4"/>
    <w:p w:rsidR="00984981" w:rsidRDefault="00984981" w:rsidP="00B52DC4">
      <w:r>
        <w:t>Holton stated that the employee appreciation party will be held on January 12</w:t>
      </w:r>
      <w:r w:rsidRPr="00984981">
        <w:rPr>
          <w:vertAlign w:val="superscript"/>
        </w:rPr>
        <w:t>th</w:t>
      </w:r>
      <w:r>
        <w:t xml:space="preserve"> for all city employees, council members and board members. All full-time staff members will be receiving a city coat and also </w:t>
      </w:r>
      <w:proofErr w:type="spellStart"/>
      <w:r>
        <w:t>Klown</w:t>
      </w:r>
      <w:proofErr w:type="spellEnd"/>
      <w:r>
        <w:t xml:space="preserve"> </w:t>
      </w:r>
      <w:proofErr w:type="spellStart"/>
      <w:r>
        <w:t>Kash</w:t>
      </w:r>
      <w:proofErr w:type="spellEnd"/>
      <w:r>
        <w:t xml:space="preserve">. </w:t>
      </w:r>
      <w:proofErr w:type="spellStart"/>
      <w:r>
        <w:t>Schlote</w:t>
      </w:r>
      <w:proofErr w:type="spellEnd"/>
      <w:r>
        <w:t xml:space="preserve"> moved to approve the appreciation party and gifts for staff. Cornett seconded the motion. Motion carried 4-0.</w:t>
      </w:r>
    </w:p>
    <w:p w:rsidR="00984981" w:rsidRDefault="00984981" w:rsidP="00B52DC4"/>
    <w:p w:rsidR="00984981" w:rsidRDefault="00984981" w:rsidP="00B52DC4">
      <w:r>
        <w:t xml:space="preserve">A claim from CDS Inspections for payment on a CDBG Housing grant invoice was </w:t>
      </w:r>
      <w:r w:rsidR="00830FA8">
        <w:t xml:space="preserve">provided to the council for approval. </w:t>
      </w:r>
      <w:proofErr w:type="spellStart"/>
      <w:r w:rsidR="00830FA8">
        <w:t>Novicki</w:t>
      </w:r>
      <w:proofErr w:type="spellEnd"/>
      <w:r w:rsidR="00830FA8">
        <w:t xml:space="preserve"> moved that payment for project PLVW-HR-14 for $6,532.97 be allowed. </w:t>
      </w:r>
      <w:proofErr w:type="spellStart"/>
      <w:r w:rsidR="00830FA8">
        <w:t>Naprstek</w:t>
      </w:r>
      <w:proofErr w:type="spellEnd"/>
      <w:r w:rsidR="00830FA8">
        <w:t xml:space="preserve"> seconded the motion. Motion carried 4-0.</w:t>
      </w:r>
    </w:p>
    <w:p w:rsidR="00830FA8" w:rsidRDefault="00830FA8" w:rsidP="00B52DC4"/>
    <w:p w:rsidR="00AE3F6F" w:rsidRDefault="00830FA8" w:rsidP="00B52DC4">
      <w:r>
        <w:t xml:space="preserve">Council member </w:t>
      </w:r>
      <w:proofErr w:type="spellStart"/>
      <w:r>
        <w:t>Novicki</w:t>
      </w:r>
      <w:proofErr w:type="spellEnd"/>
      <w:r>
        <w:t xml:space="preserve"> asked that city employees wear reflective vests when working outside </w:t>
      </w:r>
    </w:p>
    <w:p w:rsidR="00830FA8" w:rsidRDefault="00830FA8" w:rsidP="00B52DC4">
      <w:proofErr w:type="gramStart"/>
      <w:r>
        <w:t>along</w:t>
      </w:r>
      <w:proofErr w:type="gramEnd"/>
      <w:r>
        <w:t xml:space="preserve"> roadways to provide increased safety.</w:t>
      </w:r>
    </w:p>
    <w:p w:rsidR="00830FA8" w:rsidRDefault="00830FA8" w:rsidP="00B52DC4"/>
    <w:p w:rsidR="00830FA8" w:rsidRDefault="00830FA8" w:rsidP="00B52DC4">
      <w:r>
        <w:t xml:space="preserve">City Administrator Holton gave his report stating that he would be meeting with Keith Harvey from NCPPD to discuss electrical rates and that in February NCPPD’s board would be meeting with the council. Nikki </w:t>
      </w:r>
      <w:proofErr w:type="spellStart"/>
      <w:r>
        <w:t>Grasma</w:t>
      </w:r>
      <w:proofErr w:type="spellEnd"/>
      <w:r>
        <w:t xml:space="preserve"> from Suez will be in the office on December 19</w:t>
      </w:r>
      <w:r w:rsidRPr="00830FA8">
        <w:rPr>
          <w:vertAlign w:val="superscript"/>
        </w:rPr>
        <w:t>th</w:t>
      </w:r>
      <w:r>
        <w:t xml:space="preserve"> for an update on the water tower renovation project. Dr. Paul Grow has purchased 2 lots from the city to build a home within the next few months as he begins his duties at CHI Plainview. Holton has also asked Miller &amp; Associates to create a blueprint for the potential new community center proposed on east Highway 20.</w:t>
      </w:r>
    </w:p>
    <w:p w:rsidR="005E0941" w:rsidRDefault="005E0941" w:rsidP="00583819"/>
    <w:p w:rsidR="00A567D8" w:rsidRDefault="00A567D8" w:rsidP="00743CDE">
      <w:r>
        <w:t xml:space="preserve">It was moved </w:t>
      </w:r>
      <w:r w:rsidR="00830FA8">
        <w:t xml:space="preserve">by </w:t>
      </w:r>
      <w:proofErr w:type="spellStart"/>
      <w:r w:rsidR="00830FA8">
        <w:t>Schlote</w:t>
      </w:r>
      <w:proofErr w:type="spellEnd"/>
      <w:r w:rsidR="00830FA8">
        <w:t xml:space="preserve">, seconded by </w:t>
      </w:r>
      <w:proofErr w:type="spellStart"/>
      <w:r w:rsidR="00830FA8">
        <w:t>Naprstek</w:t>
      </w:r>
      <w:proofErr w:type="spellEnd"/>
      <w:r>
        <w:t xml:space="preserve"> to </w:t>
      </w:r>
      <w:r w:rsidR="00A346A7">
        <w:t>adjourn</w:t>
      </w:r>
      <w:r w:rsidR="00202E29">
        <w:t xml:space="preserve"> the meeting.</w:t>
      </w:r>
      <w:r w:rsidR="004F08E6">
        <w:t xml:space="preserve"> Motion carried 4</w:t>
      </w:r>
      <w:r w:rsidR="00EE391A">
        <w:t>-0.</w:t>
      </w:r>
    </w:p>
    <w:p w:rsidR="004660B7" w:rsidRDefault="004660B7" w:rsidP="00743CDE"/>
    <w:p w:rsidR="00743CDE" w:rsidRDefault="00E12275" w:rsidP="00743CDE">
      <w:r>
        <w:t>TIME: 8:58 P.M.</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w:t>
      </w:r>
      <w:proofErr w:type="spellStart"/>
      <w:r>
        <w:t>Seip</w:t>
      </w:r>
      <w:proofErr w:type="spellEnd"/>
      <w:r>
        <w:t xml:space="preserve">,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w:t>
      </w:r>
      <w:proofErr w:type="spellStart"/>
      <w:r>
        <w:t>Retzlaff</w:t>
      </w:r>
      <w:proofErr w:type="spellEnd"/>
      <w:r>
        <w:t xml:space="preserve">,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E12275">
        <w:t>12/12</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w:t>
      </w:r>
      <w:proofErr w:type="spellStart"/>
      <w:r>
        <w:t>Retzlaff</w:t>
      </w:r>
      <w:proofErr w:type="spellEnd"/>
      <w:r>
        <w:t xml:space="preserve">, </w:t>
      </w:r>
      <w:r w:rsidR="00743CDE">
        <w:t>City Clerk</w:t>
      </w:r>
      <w:r>
        <w:t>/Treasurer</w:t>
      </w:r>
      <w:r w:rsidR="00743CDE">
        <w:t xml:space="preserve">                                                              (SEAL)</w:t>
      </w:r>
    </w:p>
    <w:p w:rsidR="00AE3F6F" w:rsidRDefault="00AE3F6F" w:rsidP="00743CDE">
      <w:pPr>
        <w:tabs>
          <w:tab w:val="center" w:pos="4320"/>
          <w:tab w:val="decimal" w:pos="7200"/>
        </w:tabs>
      </w:pPr>
    </w:p>
    <w:p w:rsidR="00AE3F6F" w:rsidRDefault="00AE3F6F" w:rsidP="00743CDE">
      <w:pPr>
        <w:tabs>
          <w:tab w:val="center" w:pos="4320"/>
          <w:tab w:val="decimal" w:pos="7200"/>
        </w:tabs>
      </w:pPr>
    </w:p>
    <w:p w:rsidR="00AE3F6F" w:rsidRPr="001D4CF8" w:rsidRDefault="00AE3F6F" w:rsidP="00743CDE">
      <w:pPr>
        <w:tabs>
          <w:tab w:val="center" w:pos="4320"/>
          <w:tab w:val="decimal" w:pos="7200"/>
        </w:tabs>
      </w:pPr>
    </w:p>
    <w:p w:rsidR="00D478BB" w:rsidRPr="001D4CF8" w:rsidRDefault="00D478BB" w:rsidP="00743CDE">
      <w:pPr>
        <w:tabs>
          <w:tab w:val="center" w:pos="4320"/>
          <w:tab w:val="decimal" w:pos="7200"/>
        </w:tabs>
      </w:pPr>
    </w:p>
    <w:tbl>
      <w:tblPr>
        <w:tblW w:w="9520" w:type="dxa"/>
        <w:tblLook w:val="04A0" w:firstRow="1" w:lastRow="0" w:firstColumn="1" w:lastColumn="0" w:noHBand="0" w:noVBand="1"/>
      </w:tblPr>
      <w:tblGrid>
        <w:gridCol w:w="1080"/>
        <w:gridCol w:w="4320"/>
        <w:gridCol w:w="2560"/>
        <w:gridCol w:w="1560"/>
      </w:tblGrid>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13776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Plainview Telephone Co.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867.34</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13777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Plainview</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Eco Dev Loan </w:t>
            </w: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13778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Postmaster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Postage</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31.45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13779</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Plainview</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Energy Assistance</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2,051.46</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13780</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Hometown Leasing</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86.00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13781</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Great Plains Communications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35.61</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13782</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Plainview Telephone Co.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99.84</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13783</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Postmaster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Postage</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22.00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13784</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City of Plainview </w:t>
            </w:r>
            <w:proofErr w:type="spellStart"/>
            <w:r w:rsidRPr="00AE3F6F">
              <w:rPr>
                <w:color w:val="000000"/>
              </w:rPr>
              <w:t>Plv</w:t>
            </w:r>
            <w:proofErr w:type="spellEnd"/>
            <w:r w:rsidRPr="00AE3F6F">
              <w:rPr>
                <w:color w:val="000000"/>
              </w:rPr>
              <w:t>/</w:t>
            </w:r>
            <w:proofErr w:type="spellStart"/>
            <w:r w:rsidRPr="00AE3F6F">
              <w:rPr>
                <w:color w:val="000000"/>
              </w:rPr>
              <w:t>Osm</w:t>
            </w:r>
            <w:proofErr w:type="spellEnd"/>
            <w:r w:rsidRPr="00AE3F6F">
              <w:rPr>
                <w:color w:val="000000"/>
              </w:rPr>
              <w:t xml:space="preserve"> Housing</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Housing </w:t>
            </w: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42.00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13785</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Plainview</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Pool Sales Tax</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5,524.18</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Plainview</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Library Sales Tax</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2,863.93</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Plainview</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Manor Sales Tax</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2,863.93</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Plainview</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Eco Dev Sales Tax</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2,863.93</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13789</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Family Dollar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34.24</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13790</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Rollie</w:t>
            </w:r>
            <w:proofErr w:type="spellEnd"/>
            <w:r w:rsidRPr="00AE3F6F">
              <w:rPr>
                <w:color w:val="000000"/>
              </w:rPr>
              <w:t xml:space="preserve"> </w:t>
            </w:r>
            <w:proofErr w:type="spellStart"/>
            <w:r w:rsidRPr="00AE3F6F">
              <w:rPr>
                <w:color w:val="000000"/>
              </w:rPr>
              <w:t>Cederburg</w:t>
            </w:r>
            <w:proofErr w:type="spellEnd"/>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Reim</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122.20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13791</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New York Life Insurance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Emp</w:t>
            </w:r>
            <w:proofErr w:type="spellEnd"/>
            <w:r w:rsidRPr="00AE3F6F">
              <w:rPr>
                <w:color w:val="000000"/>
              </w:rPr>
              <w:t xml:space="preserve"> Ins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141.70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13792</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Midwest Bank</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Emp</w:t>
            </w:r>
            <w:proofErr w:type="spellEnd"/>
            <w:r w:rsidRPr="00AE3F6F">
              <w:rPr>
                <w:color w:val="000000"/>
              </w:rPr>
              <w:t xml:space="preserve"> H.SA</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300.00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13793</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Postmaster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Postage</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160.31</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NE Department of Revenue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State W/H Tax</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1,309.49</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CrashPlan</w:t>
            </w:r>
            <w:proofErr w:type="spellEnd"/>
            <w:r w:rsidRPr="00AE3F6F">
              <w:rPr>
                <w:color w:val="000000"/>
              </w:rPr>
              <w:t xml:space="preserve"> Pro</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9.99</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HealthPlan</w:t>
            </w:r>
            <w:proofErr w:type="spellEnd"/>
            <w:r w:rsidRPr="00AE3F6F">
              <w:rPr>
                <w:color w:val="000000"/>
              </w:rPr>
              <w:t xml:space="preserve"> Services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Vision Ins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182.10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HealthPlan</w:t>
            </w:r>
            <w:proofErr w:type="spellEnd"/>
            <w:r w:rsidRPr="00AE3F6F">
              <w:rPr>
                <w:color w:val="000000"/>
              </w:rPr>
              <w:t xml:space="preserve"> Services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Vision Ins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141.00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Community Bankers Merchant Services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874.88</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NE Department of Revenue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Sales Tax</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7,102.39</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United Health Care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Emp</w:t>
            </w:r>
            <w:proofErr w:type="spellEnd"/>
            <w:r w:rsidRPr="00AE3F6F">
              <w:rPr>
                <w:color w:val="000000"/>
              </w:rPr>
              <w:t xml:space="preserve"> Ins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8,423.79</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Black Hills Energy</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946.75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Nebraska Child Support Payment Center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425.00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Mass Mutual</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Pension</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2,545.72</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EFTPS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Payroll Taxes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6,352.57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Midwest Bank</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Deposit </w:t>
            </w:r>
            <w:proofErr w:type="spellStart"/>
            <w:r w:rsidRPr="00AE3F6F">
              <w:rPr>
                <w:color w:val="000000"/>
              </w:rPr>
              <w:t>Adj</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0.45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United States Postal Service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Postage</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321.60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Lifeproof</w:t>
            </w:r>
            <w:proofErr w:type="spellEnd"/>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5.99</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Fort Dearborn Life Insurance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Emp</w:t>
            </w:r>
            <w:proofErr w:type="spellEnd"/>
            <w:r w:rsidRPr="00AE3F6F">
              <w:rPr>
                <w:color w:val="000000"/>
              </w:rPr>
              <w:t xml:space="preserve"> Ins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51.90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EFTPS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Payroll Taxes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5,056.25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Mass Mutual</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Pension</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2,545.72</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Nebraska Child Support Payment Center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425.00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Shopko</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150.49</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 xml:space="preserve">ACH </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CrashPlan</w:t>
            </w:r>
            <w:proofErr w:type="spellEnd"/>
            <w:r w:rsidRPr="00AE3F6F">
              <w:rPr>
                <w:color w:val="000000"/>
              </w:rPr>
              <w:t xml:space="preserve"> Pro</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9.99</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19478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1D4CF8">
              <w:rPr>
                <w:color w:val="000000"/>
              </w:rPr>
              <w:t>Thru</w:t>
            </w:r>
          </w:p>
        </w:tc>
        <w:tc>
          <w:tcPr>
            <w:tcW w:w="2560" w:type="dxa"/>
            <w:tcBorders>
              <w:top w:val="nil"/>
              <w:left w:val="nil"/>
              <w:bottom w:val="nil"/>
              <w:right w:val="nil"/>
            </w:tcBorders>
            <w:shd w:val="clear" w:color="auto" w:fill="auto"/>
            <w:noWrap/>
            <w:hideMark/>
          </w:tcPr>
          <w:p w:rsidR="00AE3F6F" w:rsidRPr="00AE3F6F" w:rsidRDefault="00AE3F6F" w:rsidP="00AE3F6F"/>
        </w:tc>
        <w:tc>
          <w:tcPr>
            <w:tcW w:w="1560" w:type="dxa"/>
            <w:tcBorders>
              <w:top w:val="nil"/>
              <w:left w:val="nil"/>
              <w:bottom w:val="nil"/>
              <w:right w:val="nil"/>
            </w:tcBorders>
            <w:shd w:val="clear" w:color="auto" w:fill="auto"/>
            <w:noWrap/>
            <w:hideMark/>
          </w:tcPr>
          <w:p w:rsidR="00AE3F6F" w:rsidRPr="00AE3F6F" w:rsidRDefault="00AE3F6F" w:rsidP="00AE3F6F"/>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19485</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Payroll 11-30-2017</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15,436.15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19486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2 A.M. Signs &amp; Graphics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19487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Aflac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Emp</w:t>
            </w:r>
            <w:proofErr w:type="spellEnd"/>
            <w:r w:rsidRPr="00AE3F6F">
              <w:rPr>
                <w:color w:val="000000"/>
              </w:rPr>
              <w:t xml:space="preserve"> Ins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502.45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19488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Alby's Electric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89.52</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19489</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American Legal Publishing Corp</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650.00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19490</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Bazile Creek Power Sports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47.85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19491</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Bomgaars</w:t>
            </w:r>
            <w:proofErr w:type="spellEnd"/>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85.87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19492</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Eileen </w:t>
            </w:r>
            <w:proofErr w:type="spellStart"/>
            <w:r w:rsidRPr="00AE3F6F">
              <w:rPr>
                <w:color w:val="000000"/>
              </w:rPr>
              <w:t>Bramer</w:t>
            </w:r>
            <w:proofErr w:type="spellEnd"/>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Reim</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20.41</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19493</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Bud's Sanitary Service, LLC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4,752.00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19494</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Casey's General Stores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775.04</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19495</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Norfolk</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122.95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Plainview</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4,213.73</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City of Plainview C&amp;D Sinking Fund</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2,000.00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Clark Equipment dba Bobcat Company</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34,917.50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19499</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Classic Rentals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99.28</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19500</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Combined Revenue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3,168.96</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19501</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Cornhusker Auto Center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69.57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19502</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Curtiss Law Office, P.C., L.L.O</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1,250.00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19503</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Dd</w:t>
            </w:r>
            <w:proofErr w:type="spellEnd"/>
            <w:r w:rsidRPr="00AE3F6F">
              <w:rPr>
                <w:color w:val="000000"/>
              </w:rPr>
              <w:t xml:space="preserve"> Steel</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154.06</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19504</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Department of Energy</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6,232.17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19505</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Eakes</w:t>
            </w:r>
            <w:proofErr w:type="spellEnd"/>
            <w:r w:rsidRPr="00AE3F6F">
              <w:rPr>
                <w:color w:val="000000"/>
              </w:rPr>
              <w:t xml:space="preserve"> Office Solutions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91.26</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Electrical System Sinking Fund</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2,000.00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Great Plains Communications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35.61</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GreatAmerica</w:t>
            </w:r>
            <w:proofErr w:type="spellEnd"/>
            <w:r w:rsidRPr="00AE3F6F">
              <w:rPr>
                <w:color w:val="000000"/>
              </w:rPr>
              <w:t xml:space="preserve"> Financial Services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Copier Lease</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143.37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19509</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Hampton Inn</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Hotel Rooms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109.95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19510</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Hoffart</w:t>
            </w:r>
            <w:proofErr w:type="spellEnd"/>
            <w:r w:rsidRPr="00AE3F6F">
              <w:rPr>
                <w:color w:val="000000"/>
              </w:rPr>
              <w:t xml:space="preserve"> Machine Repair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50.00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19511</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Hometown Leasing</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Copier Lease</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86.00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19512</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Ingram Library Services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605.97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19513</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J.P. Cooke Co</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61.67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19514</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Jack's Uniforms &amp; Equipment</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87.94</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19515</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JEO Consulting Group,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500.00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Johnson Repair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4,202.26</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L.P. Gill,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12,800.83</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League of NE Municipalities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Dues</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100.00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19519</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Mahaska</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27.60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19520</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Manzer</w:t>
            </w:r>
            <w:proofErr w:type="spellEnd"/>
            <w:r w:rsidRPr="00AE3F6F">
              <w:rPr>
                <w:color w:val="000000"/>
              </w:rPr>
              <w:t xml:space="preserve"> Equipment,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345.47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19521</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Matheson Tri-Gas,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27.30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19522</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Menards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40.15</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19523</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Midwest Bank</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Safe Deposit Box</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12.00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19524</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Midwest Service &amp; Sales Co.</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138.60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19525</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Mitch's Food Center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81.74</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MEAN</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67,998.71</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NDEQ-Fiscal Services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34,614.00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NE Public Health </w:t>
            </w:r>
            <w:proofErr w:type="spellStart"/>
            <w:r w:rsidRPr="00AE3F6F">
              <w:rPr>
                <w:color w:val="000000"/>
              </w:rPr>
              <w:t>Eniv</w:t>
            </w:r>
            <w:proofErr w:type="spellEnd"/>
            <w:r w:rsidRPr="00AE3F6F">
              <w:rPr>
                <w:color w:val="000000"/>
              </w:rPr>
              <w:t xml:space="preserve"> Lab</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117.00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19529</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Nebraska </w:t>
            </w:r>
            <w:proofErr w:type="spellStart"/>
            <w:r w:rsidRPr="00AE3F6F">
              <w:rPr>
                <w:color w:val="000000"/>
              </w:rPr>
              <w:t>Harvestore</w:t>
            </w:r>
            <w:proofErr w:type="spellEnd"/>
            <w:r w:rsidRPr="00AE3F6F">
              <w:rPr>
                <w:color w:val="000000"/>
              </w:rPr>
              <w:t xml:space="preserve"> Systems,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73.58</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19530</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NMPP</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VSP 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2,888.00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19531</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Norfolk Truck Center</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36.12</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19532</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NoSwett</w:t>
            </w:r>
            <w:proofErr w:type="spellEnd"/>
            <w:r w:rsidRPr="00AE3F6F">
              <w:rPr>
                <w:color w:val="000000"/>
              </w:rPr>
              <w:t xml:space="preserve"> Fencing</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7,548.17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19533</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One Office Solution</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41.08</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19534</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Petersen Electric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360.00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19535</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Pierce Broadband Networks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170.00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Plainview Auto Supply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93.54</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Plainview News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740.57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Plainview Public Schools</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Liq</w:t>
            </w:r>
            <w:proofErr w:type="spellEnd"/>
            <w:r w:rsidRPr="00AE3F6F">
              <w:rPr>
                <w:color w:val="000000"/>
              </w:rPr>
              <w:t xml:space="preserve"> </w:t>
            </w:r>
            <w:proofErr w:type="spellStart"/>
            <w:r w:rsidRPr="00AE3F6F">
              <w:rPr>
                <w:color w:val="000000"/>
              </w:rPr>
              <w:t>Lic</w:t>
            </w:r>
            <w:proofErr w:type="spellEnd"/>
            <w:r w:rsidRPr="00AE3F6F">
              <w:rPr>
                <w:color w:val="000000"/>
              </w:rPr>
              <w:t xml:space="preserve"> </w:t>
            </w: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300.00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19539</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Plainview Telephone Co.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1,025.38</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19540</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Plainview True Value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92.06</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19541</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Rueter's</w:t>
            </w:r>
            <w:proofErr w:type="spellEnd"/>
            <w:r w:rsidRPr="00AE3F6F">
              <w:rPr>
                <w:color w:val="000000"/>
              </w:rPr>
              <w:t xml:space="preserve"> </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1,205.92</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19542</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S&amp;S Express L.L.C.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3,954.97</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19543</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Schaefer Grain Co.</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Svc</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552.00</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19544</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Steinkraus Service</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2,375.03</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19545</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The </w:t>
            </w:r>
            <w:proofErr w:type="spellStart"/>
            <w:r w:rsidRPr="00AE3F6F">
              <w:rPr>
                <w:color w:val="000000"/>
              </w:rPr>
              <w:t>Farner</w:t>
            </w:r>
            <w:proofErr w:type="spellEnd"/>
            <w:r w:rsidRPr="00AE3F6F">
              <w:rPr>
                <w:color w:val="000000"/>
              </w:rPr>
              <w:t xml:space="preserve"> Co., Inc.</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34.24</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19546</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Uline</w:t>
            </w:r>
            <w:proofErr w:type="spellEnd"/>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160.33</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19547</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Water Tower Bond Acct</w:t>
            </w:r>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proofErr w:type="spellStart"/>
            <w:r w:rsidRPr="00AE3F6F">
              <w:rPr>
                <w:color w:val="000000"/>
              </w:rPr>
              <w:t>Pmt</w:t>
            </w:r>
            <w:proofErr w:type="spellEnd"/>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2,800.83</w:t>
            </w:r>
          </w:p>
        </w:tc>
      </w:tr>
      <w:tr w:rsidR="00AE3F6F" w:rsidRPr="00AE3F6F" w:rsidTr="00AE3F6F">
        <w:trPr>
          <w:trHeight w:val="300"/>
        </w:trPr>
        <w:tc>
          <w:tcPr>
            <w:tcW w:w="108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19548</w:t>
            </w:r>
          </w:p>
        </w:tc>
        <w:tc>
          <w:tcPr>
            <w:tcW w:w="432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 xml:space="preserve">Western </w:t>
            </w:r>
            <w:proofErr w:type="spellStart"/>
            <w:r w:rsidRPr="00AE3F6F">
              <w:rPr>
                <w:color w:val="000000"/>
              </w:rPr>
              <w:t>Oil,Inc</w:t>
            </w:r>
            <w:proofErr w:type="spellEnd"/>
          </w:p>
        </w:tc>
        <w:tc>
          <w:tcPr>
            <w:tcW w:w="2560" w:type="dxa"/>
            <w:tcBorders>
              <w:top w:val="nil"/>
              <w:left w:val="nil"/>
              <w:bottom w:val="nil"/>
              <w:right w:val="nil"/>
            </w:tcBorders>
            <w:shd w:val="clear" w:color="auto" w:fill="auto"/>
            <w:noWrap/>
            <w:hideMark/>
          </w:tcPr>
          <w:p w:rsidR="00AE3F6F" w:rsidRPr="00AE3F6F" w:rsidRDefault="00AE3F6F" w:rsidP="00AE3F6F">
            <w:pPr>
              <w:rPr>
                <w:color w:val="000000"/>
              </w:rPr>
            </w:pPr>
            <w:r w:rsidRPr="00AE3F6F">
              <w:rPr>
                <w:color w:val="000000"/>
              </w:rPr>
              <w:t>Su</w:t>
            </w:r>
          </w:p>
        </w:tc>
        <w:tc>
          <w:tcPr>
            <w:tcW w:w="1560" w:type="dxa"/>
            <w:tcBorders>
              <w:top w:val="nil"/>
              <w:left w:val="nil"/>
              <w:bottom w:val="nil"/>
              <w:right w:val="nil"/>
            </w:tcBorders>
            <w:shd w:val="clear" w:color="auto" w:fill="auto"/>
            <w:noWrap/>
            <w:hideMark/>
          </w:tcPr>
          <w:p w:rsidR="00AE3F6F" w:rsidRPr="00AE3F6F" w:rsidRDefault="00AE3F6F" w:rsidP="00AE3F6F">
            <w:pPr>
              <w:jc w:val="right"/>
              <w:rPr>
                <w:color w:val="000000"/>
              </w:rPr>
            </w:pPr>
            <w:r w:rsidRPr="00AE3F6F">
              <w:rPr>
                <w:color w:val="000000"/>
              </w:rPr>
              <w:t>111.60</w:t>
            </w:r>
          </w:p>
        </w:tc>
      </w:tr>
    </w:tbl>
    <w:p w:rsidR="00D478BB" w:rsidRPr="001D4CF8" w:rsidRDefault="00D478BB" w:rsidP="00743CDE">
      <w:pPr>
        <w:tabs>
          <w:tab w:val="center" w:pos="4320"/>
          <w:tab w:val="decimal" w:pos="7200"/>
        </w:tabs>
      </w:pPr>
    </w:p>
    <w:sectPr w:rsidR="00D478BB" w:rsidRPr="001D4CF8" w:rsidSect="009C623E">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2"/>
  </w:num>
  <w:num w:numId="5">
    <w:abstractNumId w:val="16"/>
  </w:num>
  <w:num w:numId="6">
    <w:abstractNumId w:val="3"/>
  </w:num>
  <w:num w:numId="7">
    <w:abstractNumId w:val="4"/>
  </w:num>
  <w:num w:numId="8">
    <w:abstractNumId w:val="0"/>
  </w:num>
  <w:num w:numId="9">
    <w:abstractNumId w:val="7"/>
  </w:num>
  <w:num w:numId="10">
    <w:abstractNumId w:val="11"/>
  </w:num>
  <w:num w:numId="11">
    <w:abstractNumId w:val="8"/>
  </w:num>
  <w:num w:numId="12">
    <w:abstractNumId w:val="10"/>
  </w:num>
  <w:num w:numId="13">
    <w:abstractNumId w:val="13"/>
  </w:num>
  <w:num w:numId="14">
    <w:abstractNumId w:val="14"/>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32C0"/>
    <w:rsid w:val="000455DE"/>
    <w:rsid w:val="00045C05"/>
    <w:rsid w:val="00047BDD"/>
    <w:rsid w:val="00054825"/>
    <w:rsid w:val="00055177"/>
    <w:rsid w:val="00055AE4"/>
    <w:rsid w:val="00062E57"/>
    <w:rsid w:val="00063FBF"/>
    <w:rsid w:val="00071FC6"/>
    <w:rsid w:val="00072228"/>
    <w:rsid w:val="00080583"/>
    <w:rsid w:val="00080F09"/>
    <w:rsid w:val="00086BA9"/>
    <w:rsid w:val="00093D81"/>
    <w:rsid w:val="00097AEE"/>
    <w:rsid w:val="000A57D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F5D1D"/>
    <w:rsid w:val="000F6809"/>
    <w:rsid w:val="00103340"/>
    <w:rsid w:val="00107072"/>
    <w:rsid w:val="00111911"/>
    <w:rsid w:val="00114437"/>
    <w:rsid w:val="00114B2A"/>
    <w:rsid w:val="0012107A"/>
    <w:rsid w:val="001335D5"/>
    <w:rsid w:val="00134266"/>
    <w:rsid w:val="00135AC0"/>
    <w:rsid w:val="0014240D"/>
    <w:rsid w:val="00153842"/>
    <w:rsid w:val="001564C6"/>
    <w:rsid w:val="00160DB3"/>
    <w:rsid w:val="00162E98"/>
    <w:rsid w:val="00164352"/>
    <w:rsid w:val="001726B3"/>
    <w:rsid w:val="00174A10"/>
    <w:rsid w:val="00176805"/>
    <w:rsid w:val="00181B82"/>
    <w:rsid w:val="001826D6"/>
    <w:rsid w:val="0018358C"/>
    <w:rsid w:val="00185BA0"/>
    <w:rsid w:val="001A04FF"/>
    <w:rsid w:val="001A4C9E"/>
    <w:rsid w:val="001A5DDB"/>
    <w:rsid w:val="001A78D8"/>
    <w:rsid w:val="001B1392"/>
    <w:rsid w:val="001B3575"/>
    <w:rsid w:val="001C14DE"/>
    <w:rsid w:val="001D0EA0"/>
    <w:rsid w:val="001D3FA6"/>
    <w:rsid w:val="001D4CF8"/>
    <w:rsid w:val="001E4370"/>
    <w:rsid w:val="001E4882"/>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85A93"/>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BC1"/>
    <w:rsid w:val="0030639F"/>
    <w:rsid w:val="00312167"/>
    <w:rsid w:val="00314E31"/>
    <w:rsid w:val="00314F74"/>
    <w:rsid w:val="00315E46"/>
    <w:rsid w:val="00321BE0"/>
    <w:rsid w:val="00325846"/>
    <w:rsid w:val="003264D7"/>
    <w:rsid w:val="00326CED"/>
    <w:rsid w:val="0033072B"/>
    <w:rsid w:val="00335FE9"/>
    <w:rsid w:val="00340D60"/>
    <w:rsid w:val="00344333"/>
    <w:rsid w:val="00351C69"/>
    <w:rsid w:val="003556B7"/>
    <w:rsid w:val="003566E0"/>
    <w:rsid w:val="00357CBB"/>
    <w:rsid w:val="00362D7E"/>
    <w:rsid w:val="00366878"/>
    <w:rsid w:val="00381F47"/>
    <w:rsid w:val="00382BF3"/>
    <w:rsid w:val="003838FA"/>
    <w:rsid w:val="0038611C"/>
    <w:rsid w:val="00387B89"/>
    <w:rsid w:val="00387E4F"/>
    <w:rsid w:val="003A0E29"/>
    <w:rsid w:val="003A304A"/>
    <w:rsid w:val="003A338F"/>
    <w:rsid w:val="003A39BB"/>
    <w:rsid w:val="003B25AB"/>
    <w:rsid w:val="003C000F"/>
    <w:rsid w:val="003C01CC"/>
    <w:rsid w:val="003C37E7"/>
    <w:rsid w:val="003C6F98"/>
    <w:rsid w:val="003C74BC"/>
    <w:rsid w:val="003D1B12"/>
    <w:rsid w:val="003D592C"/>
    <w:rsid w:val="003E1905"/>
    <w:rsid w:val="003E6346"/>
    <w:rsid w:val="003E71D6"/>
    <w:rsid w:val="003F0AC6"/>
    <w:rsid w:val="003F285F"/>
    <w:rsid w:val="003F5519"/>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B8B"/>
    <w:rsid w:val="00464AE9"/>
    <w:rsid w:val="004660B7"/>
    <w:rsid w:val="00467733"/>
    <w:rsid w:val="00474484"/>
    <w:rsid w:val="00474F35"/>
    <w:rsid w:val="0047603D"/>
    <w:rsid w:val="00480023"/>
    <w:rsid w:val="00481056"/>
    <w:rsid w:val="004842D3"/>
    <w:rsid w:val="00484B0B"/>
    <w:rsid w:val="00492AFF"/>
    <w:rsid w:val="004948BC"/>
    <w:rsid w:val="004967AB"/>
    <w:rsid w:val="00497687"/>
    <w:rsid w:val="004A1E66"/>
    <w:rsid w:val="004A32EF"/>
    <w:rsid w:val="004A55DB"/>
    <w:rsid w:val="004A619F"/>
    <w:rsid w:val="004B05C6"/>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2C14"/>
    <w:rsid w:val="00523733"/>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83819"/>
    <w:rsid w:val="005965F5"/>
    <w:rsid w:val="0059660C"/>
    <w:rsid w:val="005A040A"/>
    <w:rsid w:val="005B24D5"/>
    <w:rsid w:val="005B2659"/>
    <w:rsid w:val="005B280C"/>
    <w:rsid w:val="005B30D2"/>
    <w:rsid w:val="005B5CF0"/>
    <w:rsid w:val="005C0329"/>
    <w:rsid w:val="005C2D83"/>
    <w:rsid w:val="005C3BE0"/>
    <w:rsid w:val="005D03DF"/>
    <w:rsid w:val="005D2BF7"/>
    <w:rsid w:val="005D3634"/>
    <w:rsid w:val="005D61FB"/>
    <w:rsid w:val="005E0941"/>
    <w:rsid w:val="005E4B7B"/>
    <w:rsid w:val="005E62C8"/>
    <w:rsid w:val="005F033C"/>
    <w:rsid w:val="005F46BD"/>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D44"/>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6131"/>
    <w:rsid w:val="006B79BE"/>
    <w:rsid w:val="006C3C12"/>
    <w:rsid w:val="006C69EE"/>
    <w:rsid w:val="006C6E74"/>
    <w:rsid w:val="006D2D54"/>
    <w:rsid w:val="006D2F95"/>
    <w:rsid w:val="006D569D"/>
    <w:rsid w:val="006E1904"/>
    <w:rsid w:val="006E7AD8"/>
    <w:rsid w:val="006F7E41"/>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96A"/>
    <w:rsid w:val="007A0E3A"/>
    <w:rsid w:val="007B2BAB"/>
    <w:rsid w:val="007B3CD9"/>
    <w:rsid w:val="007B5996"/>
    <w:rsid w:val="007B687C"/>
    <w:rsid w:val="007C0B49"/>
    <w:rsid w:val="007C207C"/>
    <w:rsid w:val="007C36BB"/>
    <w:rsid w:val="007C5A83"/>
    <w:rsid w:val="007C5F06"/>
    <w:rsid w:val="007C6FB9"/>
    <w:rsid w:val="007C7331"/>
    <w:rsid w:val="007D1727"/>
    <w:rsid w:val="007D5B86"/>
    <w:rsid w:val="007E08ED"/>
    <w:rsid w:val="007E36C6"/>
    <w:rsid w:val="007E5B22"/>
    <w:rsid w:val="007E63B4"/>
    <w:rsid w:val="007E6501"/>
    <w:rsid w:val="007F4AC9"/>
    <w:rsid w:val="00802130"/>
    <w:rsid w:val="00803B32"/>
    <w:rsid w:val="00804F1C"/>
    <w:rsid w:val="00805834"/>
    <w:rsid w:val="00806757"/>
    <w:rsid w:val="00810936"/>
    <w:rsid w:val="00826FF4"/>
    <w:rsid w:val="00830FA8"/>
    <w:rsid w:val="00836F1F"/>
    <w:rsid w:val="00837C7E"/>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27B1"/>
    <w:rsid w:val="008C5F50"/>
    <w:rsid w:val="008D0A22"/>
    <w:rsid w:val="008D0EFE"/>
    <w:rsid w:val="008D2106"/>
    <w:rsid w:val="008D238E"/>
    <w:rsid w:val="008D7DE3"/>
    <w:rsid w:val="008E4173"/>
    <w:rsid w:val="008E4709"/>
    <w:rsid w:val="008E6CC4"/>
    <w:rsid w:val="008F6194"/>
    <w:rsid w:val="00900072"/>
    <w:rsid w:val="0090112C"/>
    <w:rsid w:val="009029ED"/>
    <w:rsid w:val="00905C2C"/>
    <w:rsid w:val="00911466"/>
    <w:rsid w:val="00914DD9"/>
    <w:rsid w:val="00915D1C"/>
    <w:rsid w:val="009221FB"/>
    <w:rsid w:val="00923CC9"/>
    <w:rsid w:val="00931E66"/>
    <w:rsid w:val="00936345"/>
    <w:rsid w:val="009400E7"/>
    <w:rsid w:val="00942BB5"/>
    <w:rsid w:val="009457A9"/>
    <w:rsid w:val="00947CA9"/>
    <w:rsid w:val="00956D06"/>
    <w:rsid w:val="00963075"/>
    <w:rsid w:val="00967ACB"/>
    <w:rsid w:val="00970388"/>
    <w:rsid w:val="00973B20"/>
    <w:rsid w:val="009749B9"/>
    <w:rsid w:val="0097538B"/>
    <w:rsid w:val="0097543A"/>
    <w:rsid w:val="00975A89"/>
    <w:rsid w:val="00982101"/>
    <w:rsid w:val="0098254C"/>
    <w:rsid w:val="00984981"/>
    <w:rsid w:val="009903EF"/>
    <w:rsid w:val="00990A72"/>
    <w:rsid w:val="009913AC"/>
    <w:rsid w:val="00993C53"/>
    <w:rsid w:val="009A3D4E"/>
    <w:rsid w:val="009A4D90"/>
    <w:rsid w:val="009A5E95"/>
    <w:rsid w:val="009B05B9"/>
    <w:rsid w:val="009C623E"/>
    <w:rsid w:val="009D7430"/>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2ABC"/>
    <w:rsid w:val="00A6327F"/>
    <w:rsid w:val="00A6395D"/>
    <w:rsid w:val="00A71E89"/>
    <w:rsid w:val="00A740A9"/>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645D"/>
    <w:rsid w:val="00AD1F4D"/>
    <w:rsid w:val="00AD2E54"/>
    <w:rsid w:val="00AD747A"/>
    <w:rsid w:val="00AE2B85"/>
    <w:rsid w:val="00AE3F6F"/>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7279E"/>
    <w:rsid w:val="00B72DFB"/>
    <w:rsid w:val="00B81791"/>
    <w:rsid w:val="00B82849"/>
    <w:rsid w:val="00B83C00"/>
    <w:rsid w:val="00B87F48"/>
    <w:rsid w:val="00BA1E2B"/>
    <w:rsid w:val="00BA6FF7"/>
    <w:rsid w:val="00BB0206"/>
    <w:rsid w:val="00BB5AF2"/>
    <w:rsid w:val="00BB687A"/>
    <w:rsid w:val="00BB7845"/>
    <w:rsid w:val="00BB7902"/>
    <w:rsid w:val="00BC34E1"/>
    <w:rsid w:val="00BD1523"/>
    <w:rsid w:val="00BE1AB7"/>
    <w:rsid w:val="00BE60F4"/>
    <w:rsid w:val="00BF5589"/>
    <w:rsid w:val="00BF65CC"/>
    <w:rsid w:val="00C00F6A"/>
    <w:rsid w:val="00C0152A"/>
    <w:rsid w:val="00C028B7"/>
    <w:rsid w:val="00C06DD3"/>
    <w:rsid w:val="00C12CF8"/>
    <w:rsid w:val="00C33156"/>
    <w:rsid w:val="00C338A9"/>
    <w:rsid w:val="00C353DD"/>
    <w:rsid w:val="00C36AC4"/>
    <w:rsid w:val="00C41964"/>
    <w:rsid w:val="00C41D1E"/>
    <w:rsid w:val="00C57AD8"/>
    <w:rsid w:val="00C647E7"/>
    <w:rsid w:val="00C7155C"/>
    <w:rsid w:val="00C72366"/>
    <w:rsid w:val="00C74149"/>
    <w:rsid w:val="00C7425E"/>
    <w:rsid w:val="00C81543"/>
    <w:rsid w:val="00C84840"/>
    <w:rsid w:val="00C872FF"/>
    <w:rsid w:val="00CA2810"/>
    <w:rsid w:val="00CA3717"/>
    <w:rsid w:val="00CA5AAE"/>
    <w:rsid w:val="00CB000F"/>
    <w:rsid w:val="00CB1ED6"/>
    <w:rsid w:val="00CC20EE"/>
    <w:rsid w:val="00CC46EA"/>
    <w:rsid w:val="00CC4E2F"/>
    <w:rsid w:val="00CC6155"/>
    <w:rsid w:val="00CD603C"/>
    <w:rsid w:val="00CE221F"/>
    <w:rsid w:val="00CE7435"/>
    <w:rsid w:val="00CF5F1D"/>
    <w:rsid w:val="00CF75D9"/>
    <w:rsid w:val="00D02403"/>
    <w:rsid w:val="00D02BA7"/>
    <w:rsid w:val="00D056D3"/>
    <w:rsid w:val="00D169F3"/>
    <w:rsid w:val="00D16D23"/>
    <w:rsid w:val="00D2314D"/>
    <w:rsid w:val="00D24CFC"/>
    <w:rsid w:val="00D25042"/>
    <w:rsid w:val="00D26BFF"/>
    <w:rsid w:val="00D27D69"/>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73E8B"/>
    <w:rsid w:val="00D856C3"/>
    <w:rsid w:val="00D90A68"/>
    <w:rsid w:val="00D92C27"/>
    <w:rsid w:val="00DA42EC"/>
    <w:rsid w:val="00DA4F3A"/>
    <w:rsid w:val="00DA70C4"/>
    <w:rsid w:val="00DB43D3"/>
    <w:rsid w:val="00DB63F5"/>
    <w:rsid w:val="00DB797B"/>
    <w:rsid w:val="00DC04A5"/>
    <w:rsid w:val="00DC19BB"/>
    <w:rsid w:val="00DC303D"/>
    <w:rsid w:val="00DC34B6"/>
    <w:rsid w:val="00DC41D1"/>
    <w:rsid w:val="00DC58C0"/>
    <w:rsid w:val="00DD423D"/>
    <w:rsid w:val="00DD4C73"/>
    <w:rsid w:val="00DD4D40"/>
    <w:rsid w:val="00DE1678"/>
    <w:rsid w:val="00DE25F2"/>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430"/>
    <w:rsid w:val="00EF6982"/>
    <w:rsid w:val="00EF6C20"/>
    <w:rsid w:val="00F0147E"/>
    <w:rsid w:val="00F01B25"/>
    <w:rsid w:val="00F05ED2"/>
    <w:rsid w:val="00F07917"/>
    <w:rsid w:val="00F12348"/>
    <w:rsid w:val="00F17BA9"/>
    <w:rsid w:val="00F214E0"/>
    <w:rsid w:val="00F228FC"/>
    <w:rsid w:val="00F25B82"/>
    <w:rsid w:val="00F31F88"/>
    <w:rsid w:val="00F35A00"/>
    <w:rsid w:val="00F35B15"/>
    <w:rsid w:val="00F40698"/>
    <w:rsid w:val="00F407CA"/>
    <w:rsid w:val="00F47BA8"/>
    <w:rsid w:val="00F5262E"/>
    <w:rsid w:val="00F533A0"/>
    <w:rsid w:val="00F56E44"/>
    <w:rsid w:val="00F57336"/>
    <w:rsid w:val="00F668AA"/>
    <w:rsid w:val="00F67EEF"/>
    <w:rsid w:val="00F71355"/>
    <w:rsid w:val="00F741F1"/>
    <w:rsid w:val="00F7744B"/>
    <w:rsid w:val="00FA4336"/>
    <w:rsid w:val="00FA4C74"/>
    <w:rsid w:val="00FA711A"/>
    <w:rsid w:val="00FB2751"/>
    <w:rsid w:val="00FB2D69"/>
    <w:rsid w:val="00FC403E"/>
    <w:rsid w:val="00FD6CA5"/>
    <w:rsid w:val="00FD7F7E"/>
    <w:rsid w:val="00FE793F"/>
    <w:rsid w:val="00FF05F7"/>
    <w:rsid w:val="00FF0FC9"/>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38E5F-1BB9-4B36-BED4-5A854999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37</cp:revision>
  <cp:lastPrinted>2017-12-18T19:05:00Z</cp:lastPrinted>
  <dcterms:created xsi:type="dcterms:W3CDTF">2017-10-16T17:06:00Z</dcterms:created>
  <dcterms:modified xsi:type="dcterms:W3CDTF">2017-12-18T19:07:00Z</dcterms:modified>
</cp:coreProperties>
</file>